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25241C" w14:textId="6128E54C" w:rsidR="00E81E94" w:rsidRPr="00E81E94" w:rsidRDefault="00E81E94" w:rsidP="00E81E94">
      <w:pPr>
        <w:tabs>
          <w:tab w:val="left" w:pos="4208"/>
        </w:tabs>
        <w:spacing w:after="0"/>
        <w:textboxTightWrap w:val="none"/>
      </w:pPr>
      <w:bookmarkStart w:id="0" w:name="_GoBack"/>
      <w:bookmarkEnd w:id="0"/>
      <w:r>
        <w:rPr>
          <w:b/>
        </w:rPr>
        <w:t xml:space="preserve">Additional information for general practitioners </w:t>
      </w:r>
    </w:p>
    <w:p w14:paraId="7D42040D" w14:textId="77777777" w:rsidR="00E81E94" w:rsidRDefault="00E81E94" w:rsidP="00E81E94">
      <w:pPr>
        <w:tabs>
          <w:tab w:val="left" w:pos="3553"/>
        </w:tabs>
        <w:spacing w:after="0"/>
        <w:textboxTightWrap w:val="none"/>
      </w:pPr>
      <w:r>
        <w:tab/>
      </w:r>
    </w:p>
    <w:p w14:paraId="68A27396" w14:textId="77777777" w:rsidR="00DF730A" w:rsidRDefault="00DF730A" w:rsidP="00203604">
      <w:pPr>
        <w:spacing w:after="0"/>
        <w:rPr>
          <w:b/>
        </w:rPr>
      </w:pPr>
    </w:p>
    <w:p w14:paraId="3B393974" w14:textId="77777777" w:rsidR="00437E70" w:rsidRPr="00437E70" w:rsidRDefault="00437E70" w:rsidP="00437E70">
      <w:pPr>
        <w:pStyle w:val="ListParagraph"/>
        <w:numPr>
          <w:ilvl w:val="0"/>
          <w:numId w:val="11"/>
        </w:numPr>
        <w:spacing w:after="0"/>
        <w:contextualSpacing w:val="0"/>
        <w:textboxTightWrap w:val="none"/>
        <w:rPr>
          <w:b/>
        </w:rPr>
      </w:pPr>
      <w:r w:rsidRPr="000E0A46">
        <w:rPr>
          <w:b/>
        </w:rPr>
        <w:t>Wh</w:t>
      </w:r>
      <w:r w:rsidR="00ED3D68">
        <w:rPr>
          <w:b/>
        </w:rPr>
        <w:t>y are you making this change?</w:t>
      </w:r>
    </w:p>
    <w:p w14:paraId="1D5DE990" w14:textId="77777777" w:rsidR="00A941EC" w:rsidRDefault="00A941EC" w:rsidP="00ED3D68">
      <w:pPr>
        <w:spacing w:after="0"/>
      </w:pPr>
    </w:p>
    <w:p w14:paraId="36D60BA9" w14:textId="77777777" w:rsidR="004B320D" w:rsidRDefault="007029A5" w:rsidP="00ED3D68">
      <w:pPr>
        <w:spacing w:after="0"/>
      </w:pPr>
      <w:r>
        <w:t xml:space="preserve">The national data opt-out </w:t>
      </w:r>
      <w:r w:rsidR="008F2209">
        <w:t xml:space="preserve">gives people </w:t>
      </w:r>
      <w:r w:rsidR="00B60B67">
        <w:t xml:space="preserve">a clear choice about how their confidential patient information </w:t>
      </w:r>
      <w:r w:rsidR="009D0554">
        <w:t xml:space="preserve">is used for purposes beyond their individual care. </w:t>
      </w:r>
      <w:r w:rsidR="00531FCA">
        <w:t xml:space="preserve">A patient </w:t>
      </w:r>
      <w:r w:rsidR="00553A18">
        <w:t xml:space="preserve">will be able </w:t>
      </w:r>
      <w:r w:rsidR="00F973D6">
        <w:t xml:space="preserve">to </w:t>
      </w:r>
      <w:r w:rsidR="00553A18">
        <w:t xml:space="preserve">state their </w:t>
      </w:r>
      <w:r w:rsidR="00CD3952">
        <w:t xml:space="preserve">preference </w:t>
      </w:r>
      <w:r w:rsidR="002C61DB">
        <w:t>once and</w:t>
      </w:r>
      <w:r w:rsidR="00B55983">
        <w:t xml:space="preserve"> </w:t>
      </w:r>
      <w:r w:rsidR="005C3F1A">
        <w:t>be confident this will be upheld by</w:t>
      </w:r>
      <w:r w:rsidR="00DD6E68">
        <w:t xml:space="preserve"> all</w:t>
      </w:r>
      <w:r w:rsidR="005C3F1A">
        <w:t xml:space="preserve"> health </w:t>
      </w:r>
      <w:r w:rsidR="00AB4EFF">
        <w:t xml:space="preserve">and </w:t>
      </w:r>
      <w:r w:rsidR="005C3F1A">
        <w:t>care organisations</w:t>
      </w:r>
      <w:r w:rsidR="002A3DA7">
        <w:t xml:space="preserve"> (expected to be complete by 2020)</w:t>
      </w:r>
      <w:r w:rsidR="005C3F1A">
        <w:t>.</w:t>
      </w:r>
    </w:p>
    <w:p w14:paraId="4C8A1DC6" w14:textId="77777777" w:rsidR="005C3F1A" w:rsidRDefault="005C3F1A" w:rsidP="00ED3D68">
      <w:pPr>
        <w:spacing w:after="0"/>
      </w:pPr>
    </w:p>
    <w:p w14:paraId="69A5046D" w14:textId="77777777" w:rsidR="006C00CF" w:rsidRPr="00BB5A97" w:rsidRDefault="00E954E7" w:rsidP="003B2DD8">
      <w:pPr>
        <w:spacing w:after="0"/>
      </w:pPr>
      <w:r>
        <w:t xml:space="preserve">It puts </w:t>
      </w:r>
      <w:r w:rsidR="000B4641">
        <w:t>the patient in control of their data choices</w:t>
      </w:r>
      <w:r w:rsidR="004207C3">
        <w:t xml:space="preserve">, and through </w:t>
      </w:r>
      <w:r w:rsidR="00467936">
        <w:t xml:space="preserve">an online and telephone </w:t>
      </w:r>
      <w:r w:rsidR="00295A47">
        <w:t>option</w:t>
      </w:r>
      <w:r w:rsidR="00CC1D22">
        <w:t xml:space="preserve">, enables patients to change their mind at any </w:t>
      </w:r>
      <w:r w:rsidR="003B2DD8">
        <w:t>time.</w:t>
      </w:r>
      <w:r w:rsidR="006C00CF">
        <w:br/>
      </w:r>
      <w:r w:rsidR="006C00CF">
        <w:br/>
        <w:t>This change is the result of an independent review of patient preferences, which was conducted by Dame Fiona Caldicott</w:t>
      </w:r>
      <w:r w:rsidR="00C3500E">
        <w:t xml:space="preserve"> and which recommended the introduction of a simple data opt-out. It has been put into policy </w:t>
      </w:r>
      <w:r w:rsidR="003B1FBB">
        <w:t xml:space="preserve">by the </w:t>
      </w:r>
      <w:r w:rsidR="006C00CF">
        <w:t>Department of Health and Social Care.</w:t>
      </w:r>
      <w:r w:rsidR="006C00CF" w:rsidRPr="00BB5A97">
        <w:br/>
      </w:r>
    </w:p>
    <w:p w14:paraId="7AA7BF15" w14:textId="77777777" w:rsidR="00437E70" w:rsidRPr="00437E70" w:rsidRDefault="00992EAB" w:rsidP="00437E70">
      <w:pPr>
        <w:pStyle w:val="ListParagraph"/>
        <w:numPr>
          <w:ilvl w:val="0"/>
          <w:numId w:val="11"/>
        </w:numPr>
        <w:spacing w:after="0"/>
        <w:contextualSpacing w:val="0"/>
        <w:textboxTightWrap w:val="none"/>
        <w:rPr>
          <w:b/>
        </w:rPr>
      </w:pPr>
      <w:r w:rsidRPr="000E0A46">
        <w:rPr>
          <w:b/>
        </w:rPr>
        <w:t>What is a type 2 objection and how is it recorded?</w:t>
      </w:r>
    </w:p>
    <w:p w14:paraId="105A81A4" w14:textId="77777777" w:rsidR="00A941EC" w:rsidRDefault="00A941EC" w:rsidP="002E531C"/>
    <w:p w14:paraId="7B2C318A" w14:textId="77777777" w:rsidR="00992EAB" w:rsidRPr="00363647" w:rsidRDefault="00992EAB" w:rsidP="002E531C">
      <w:r>
        <w:t>The type 2 objection tells NHS Digital not to share a patient’s</w:t>
      </w:r>
      <w:r w:rsidR="00180B33">
        <w:t xml:space="preserve"> </w:t>
      </w:r>
      <w:r>
        <w:t>confidential information for purposes beyond their individual care. It is recorded in the GP patient record, using the following code:</w:t>
      </w:r>
    </w:p>
    <w:tbl>
      <w:tblPr>
        <w:tblW w:w="10065" w:type="dxa"/>
        <w:tblInd w:w="-10" w:type="dxa"/>
        <w:tblLayout w:type="fixed"/>
        <w:tblCellMar>
          <w:left w:w="0" w:type="dxa"/>
          <w:right w:w="0" w:type="dxa"/>
        </w:tblCellMar>
        <w:tblLook w:val="04A0" w:firstRow="1" w:lastRow="0" w:firstColumn="1" w:lastColumn="0" w:noHBand="0" w:noVBand="1"/>
      </w:tblPr>
      <w:tblGrid>
        <w:gridCol w:w="1276"/>
        <w:gridCol w:w="992"/>
        <w:gridCol w:w="851"/>
        <w:gridCol w:w="2126"/>
        <w:gridCol w:w="4820"/>
      </w:tblGrid>
      <w:tr w:rsidR="00992EAB" w:rsidRPr="00363647" w14:paraId="0B8F9807" w14:textId="77777777" w:rsidTr="001A3620">
        <w:trPr>
          <w:trHeight w:val="295"/>
        </w:trPr>
        <w:tc>
          <w:tcPr>
            <w:tcW w:w="1276" w:type="dxa"/>
            <w:tcBorders>
              <w:top w:val="single" w:sz="8" w:space="0" w:color="auto"/>
              <w:left w:val="single" w:sz="8" w:space="0" w:color="auto"/>
              <w:bottom w:val="single" w:sz="8" w:space="0" w:color="auto"/>
              <w:right w:val="single" w:sz="8" w:space="0" w:color="auto"/>
            </w:tcBorders>
          </w:tcPr>
          <w:p w14:paraId="6975677A" w14:textId="77777777" w:rsidR="00992EAB" w:rsidRPr="00363647" w:rsidRDefault="00992EAB" w:rsidP="00203604">
            <w:pPr>
              <w:spacing w:after="0"/>
              <w:jc w:val="center"/>
              <w:rPr>
                <w:rFonts w:cstheme="minorHAnsi"/>
              </w:rPr>
            </w:pPr>
          </w:p>
        </w:tc>
        <w:tc>
          <w:tcPr>
            <w:tcW w:w="992" w:type="dxa"/>
            <w:tcBorders>
              <w:top w:val="single" w:sz="8" w:space="0" w:color="auto"/>
              <w:left w:val="single" w:sz="8" w:space="0" w:color="auto"/>
              <w:bottom w:val="single" w:sz="8" w:space="0" w:color="auto"/>
              <w:right w:val="single" w:sz="8" w:space="0" w:color="auto"/>
            </w:tcBorders>
          </w:tcPr>
          <w:p w14:paraId="580FA656" w14:textId="77777777" w:rsidR="00992EAB" w:rsidRPr="00363647" w:rsidRDefault="00992EAB" w:rsidP="00203604">
            <w:pPr>
              <w:spacing w:after="0"/>
              <w:ind w:left="-709" w:firstLine="709"/>
              <w:jc w:val="center"/>
              <w:rPr>
                <w:rFonts w:cstheme="minorHAnsi"/>
              </w:rPr>
            </w:pPr>
            <w:r w:rsidRPr="00363647">
              <w:rPr>
                <w:rFonts w:cstheme="minorHAnsi"/>
              </w:rPr>
              <w:t>Read v2</w:t>
            </w:r>
          </w:p>
        </w:tc>
        <w:tc>
          <w:tcPr>
            <w:tcW w:w="851" w:type="dxa"/>
            <w:tcBorders>
              <w:top w:val="single" w:sz="8" w:space="0" w:color="auto"/>
              <w:left w:val="single" w:sz="8" w:space="0" w:color="auto"/>
              <w:bottom w:val="single" w:sz="8" w:space="0" w:color="auto"/>
              <w:right w:val="single" w:sz="8" w:space="0" w:color="auto"/>
            </w:tcBorders>
          </w:tcPr>
          <w:p w14:paraId="6B6D041C" w14:textId="77777777" w:rsidR="00992EAB" w:rsidRPr="00363647" w:rsidRDefault="00992EAB" w:rsidP="00203604">
            <w:pPr>
              <w:spacing w:after="0"/>
              <w:jc w:val="center"/>
              <w:rPr>
                <w:rFonts w:cstheme="minorHAnsi"/>
              </w:rPr>
            </w:pPr>
            <w:r w:rsidRPr="00363647">
              <w:rPr>
                <w:rFonts w:cstheme="minorHAnsi"/>
              </w:rPr>
              <w:t>CTv3</w:t>
            </w:r>
          </w:p>
        </w:tc>
        <w:tc>
          <w:tcPr>
            <w:tcW w:w="2126" w:type="dxa"/>
            <w:tcBorders>
              <w:top w:val="single" w:sz="8" w:space="0" w:color="auto"/>
              <w:left w:val="single" w:sz="8" w:space="0" w:color="auto"/>
              <w:bottom w:val="single" w:sz="8" w:space="0" w:color="auto"/>
              <w:right w:val="single" w:sz="8" w:space="0" w:color="auto"/>
            </w:tcBorders>
          </w:tcPr>
          <w:p w14:paraId="5043A254" w14:textId="77777777" w:rsidR="00992EAB" w:rsidRPr="00363647" w:rsidRDefault="00992EAB" w:rsidP="00203604">
            <w:pPr>
              <w:spacing w:after="0"/>
              <w:ind w:left="-533" w:firstLine="533"/>
              <w:jc w:val="center"/>
              <w:rPr>
                <w:rFonts w:cstheme="minorHAnsi"/>
              </w:rPr>
            </w:pPr>
            <w:r w:rsidRPr="00363647">
              <w:rPr>
                <w:rFonts w:cstheme="minorHAnsi"/>
              </w:rPr>
              <w:t>SNOMED CT</w:t>
            </w:r>
          </w:p>
        </w:tc>
        <w:tc>
          <w:tcPr>
            <w:tcW w:w="48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DB7499B" w14:textId="77777777" w:rsidR="00992EAB" w:rsidRPr="00363647" w:rsidRDefault="00992EAB" w:rsidP="00203604">
            <w:pPr>
              <w:spacing w:after="0"/>
              <w:rPr>
                <w:rFonts w:cstheme="minorHAnsi"/>
              </w:rPr>
            </w:pPr>
            <w:r w:rsidRPr="00363647">
              <w:rPr>
                <w:rFonts w:cstheme="minorHAnsi"/>
              </w:rPr>
              <w:t>Rubric</w:t>
            </w:r>
          </w:p>
        </w:tc>
      </w:tr>
      <w:tr w:rsidR="00992EAB" w:rsidRPr="00363647" w14:paraId="0A150489" w14:textId="77777777" w:rsidTr="001A3620">
        <w:trPr>
          <w:trHeight w:val="690"/>
        </w:trPr>
        <w:tc>
          <w:tcPr>
            <w:tcW w:w="1276" w:type="dxa"/>
            <w:tcBorders>
              <w:top w:val="nil"/>
              <w:left w:val="single" w:sz="8" w:space="0" w:color="auto"/>
              <w:bottom w:val="single" w:sz="8" w:space="0" w:color="auto"/>
              <w:right w:val="single" w:sz="8" w:space="0" w:color="auto"/>
            </w:tcBorders>
          </w:tcPr>
          <w:p w14:paraId="1EC7FA6B" w14:textId="77777777" w:rsidR="00992EAB" w:rsidRPr="00363647" w:rsidRDefault="00992EAB" w:rsidP="00203604">
            <w:pPr>
              <w:spacing w:after="0"/>
              <w:ind w:left="-709" w:firstLine="709"/>
              <w:jc w:val="center"/>
              <w:rPr>
                <w:rFonts w:cstheme="minorHAnsi"/>
              </w:rPr>
            </w:pPr>
            <w:r w:rsidRPr="00363647">
              <w:rPr>
                <w:rFonts w:cstheme="minorHAnsi"/>
              </w:rPr>
              <w:t>Set Type 2</w:t>
            </w:r>
          </w:p>
        </w:tc>
        <w:tc>
          <w:tcPr>
            <w:tcW w:w="992" w:type="dxa"/>
            <w:tcBorders>
              <w:top w:val="nil"/>
              <w:left w:val="single" w:sz="8" w:space="0" w:color="auto"/>
              <w:bottom w:val="single" w:sz="8" w:space="0" w:color="auto"/>
              <w:right w:val="single" w:sz="8" w:space="0" w:color="auto"/>
            </w:tcBorders>
          </w:tcPr>
          <w:p w14:paraId="78DEA559" w14:textId="77777777" w:rsidR="00992EAB" w:rsidRPr="00363647" w:rsidRDefault="00992EAB" w:rsidP="00203604">
            <w:pPr>
              <w:spacing w:after="0"/>
              <w:ind w:left="-709" w:firstLine="709"/>
              <w:jc w:val="center"/>
              <w:rPr>
                <w:rFonts w:cstheme="minorHAnsi"/>
              </w:rPr>
            </w:pPr>
            <w:r w:rsidRPr="00363647">
              <w:rPr>
                <w:rFonts w:cstheme="minorHAnsi"/>
              </w:rPr>
              <w:t>9Nu4.</w:t>
            </w:r>
          </w:p>
        </w:tc>
        <w:tc>
          <w:tcPr>
            <w:tcW w:w="851" w:type="dxa"/>
            <w:tcBorders>
              <w:top w:val="nil"/>
              <w:left w:val="single" w:sz="8" w:space="0" w:color="auto"/>
              <w:bottom w:val="single" w:sz="8" w:space="0" w:color="auto"/>
              <w:right w:val="single" w:sz="8" w:space="0" w:color="auto"/>
            </w:tcBorders>
          </w:tcPr>
          <w:p w14:paraId="107A364E" w14:textId="77777777" w:rsidR="00992EAB" w:rsidRPr="00363647" w:rsidRDefault="00992EAB" w:rsidP="00203604">
            <w:pPr>
              <w:spacing w:after="0"/>
              <w:jc w:val="center"/>
              <w:rPr>
                <w:rFonts w:cstheme="minorHAnsi"/>
              </w:rPr>
            </w:pPr>
            <w:r w:rsidRPr="00363647">
              <w:rPr>
                <w:rFonts w:cstheme="minorHAnsi"/>
              </w:rPr>
              <w:t>XaaVL</w:t>
            </w:r>
          </w:p>
        </w:tc>
        <w:tc>
          <w:tcPr>
            <w:tcW w:w="2126" w:type="dxa"/>
            <w:tcBorders>
              <w:top w:val="nil"/>
              <w:left w:val="single" w:sz="8" w:space="0" w:color="auto"/>
              <w:bottom w:val="single" w:sz="8" w:space="0" w:color="auto"/>
              <w:right w:val="single" w:sz="8" w:space="0" w:color="auto"/>
            </w:tcBorders>
          </w:tcPr>
          <w:p w14:paraId="3B820243" w14:textId="77777777" w:rsidR="00992EAB" w:rsidRPr="00363647" w:rsidRDefault="00992EAB" w:rsidP="00203604">
            <w:pPr>
              <w:spacing w:after="0"/>
              <w:jc w:val="center"/>
              <w:rPr>
                <w:rFonts w:cstheme="minorHAnsi"/>
              </w:rPr>
            </w:pPr>
            <w:r w:rsidRPr="00363647">
              <w:rPr>
                <w:rFonts w:cstheme="minorHAnsi"/>
              </w:rPr>
              <w:t>881561000000100</w:t>
            </w:r>
          </w:p>
        </w:tc>
        <w:tc>
          <w:tcPr>
            <w:tcW w:w="482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59D9976" w14:textId="77777777" w:rsidR="00992EAB" w:rsidRPr="00363647" w:rsidRDefault="00992EAB" w:rsidP="00203604">
            <w:pPr>
              <w:spacing w:after="0"/>
              <w:rPr>
                <w:rFonts w:cstheme="minorHAnsi"/>
                <w:i/>
              </w:rPr>
            </w:pPr>
            <w:r w:rsidRPr="00363647">
              <w:rPr>
                <w:rFonts w:cstheme="minorHAnsi"/>
                <w:i/>
              </w:rPr>
              <w:t>‘Dissent from disclosure of personal confidential data by Health and Social Care Information Centre’</w:t>
            </w:r>
          </w:p>
        </w:tc>
      </w:tr>
    </w:tbl>
    <w:p w14:paraId="635BA5E1" w14:textId="77777777" w:rsidR="00992EAB" w:rsidRPr="00363647" w:rsidRDefault="00992EAB" w:rsidP="00203604">
      <w:pPr>
        <w:spacing w:after="0"/>
        <w:rPr>
          <w:rFonts w:cstheme="minorHAnsi"/>
          <w:color w:val="000000"/>
        </w:rPr>
      </w:pPr>
    </w:p>
    <w:p w14:paraId="4DF785B9" w14:textId="77777777" w:rsidR="00992EAB" w:rsidRPr="000E0A46" w:rsidRDefault="00992EAB" w:rsidP="00203604">
      <w:pPr>
        <w:pStyle w:val="ListParagraph"/>
        <w:numPr>
          <w:ilvl w:val="0"/>
          <w:numId w:val="11"/>
        </w:numPr>
        <w:spacing w:after="0"/>
        <w:contextualSpacing w:val="0"/>
        <w:textboxTightWrap w:val="none"/>
        <w:rPr>
          <w:b/>
        </w:rPr>
      </w:pPr>
      <w:r w:rsidRPr="000E0A46">
        <w:rPr>
          <w:b/>
        </w:rPr>
        <w:t>What is the national data opt-out?</w:t>
      </w:r>
    </w:p>
    <w:p w14:paraId="2BD1F402" w14:textId="77777777" w:rsidR="00A941EC" w:rsidRDefault="00A941EC" w:rsidP="00203604">
      <w:pPr>
        <w:spacing w:after="0"/>
      </w:pPr>
    </w:p>
    <w:p w14:paraId="308AB67C" w14:textId="77777777" w:rsidR="00992EAB" w:rsidRDefault="00992EAB" w:rsidP="00203604">
      <w:pPr>
        <w:spacing w:after="0"/>
      </w:pPr>
      <w:r>
        <w:t xml:space="preserve">The national data opt-out will allow patients to choose to stop their confidential </w:t>
      </w:r>
      <w:r w:rsidR="00CC4BE0">
        <w:t xml:space="preserve">patient </w:t>
      </w:r>
      <w:r>
        <w:t xml:space="preserve">information from being used for purposes beyond their individual care. The opt-out will be applied by NHS Digital from 25 May 2018 and by 2020 </w:t>
      </w:r>
      <w:r w:rsidRPr="000862EC">
        <w:t xml:space="preserve">all health and care organisations must apply </w:t>
      </w:r>
      <w:r>
        <w:t>national data opt-outs in line with the policy</w:t>
      </w:r>
      <w:r w:rsidRPr="000862EC">
        <w:t>.</w:t>
      </w:r>
      <w:r>
        <w:t xml:space="preserve"> For more information about the national data opt-out including why it is being introduced see</w:t>
      </w:r>
      <w:r w:rsidRPr="00203604">
        <w:rPr>
          <w:rFonts w:cs="Arial"/>
        </w:rPr>
        <w:t xml:space="preserve">: </w:t>
      </w:r>
      <w:hyperlink r:id="rId13" w:history="1">
        <w:r w:rsidRPr="00203604">
          <w:rPr>
            <w:rStyle w:val="Hyperlink"/>
            <w:rFonts w:ascii="Arial" w:hAnsi="Arial" w:cs="Arial"/>
          </w:rPr>
          <w:t>https://digital.nhs.uk/national-data-opt-out</w:t>
        </w:r>
      </w:hyperlink>
      <w:r>
        <w:t>.</w:t>
      </w:r>
    </w:p>
    <w:p w14:paraId="54879102" w14:textId="77777777" w:rsidR="00992EAB" w:rsidRDefault="00992EAB" w:rsidP="00203604">
      <w:pPr>
        <w:spacing w:after="0"/>
      </w:pPr>
    </w:p>
    <w:p w14:paraId="6FD2CB05" w14:textId="77777777" w:rsidR="00992EAB" w:rsidRPr="000E0A46" w:rsidRDefault="00992EAB" w:rsidP="00203604">
      <w:pPr>
        <w:pStyle w:val="ListParagraph"/>
        <w:numPr>
          <w:ilvl w:val="0"/>
          <w:numId w:val="11"/>
        </w:numPr>
        <w:spacing w:after="0"/>
        <w:contextualSpacing w:val="0"/>
        <w:textboxTightWrap w:val="none"/>
        <w:rPr>
          <w:b/>
        </w:rPr>
      </w:pPr>
      <w:r w:rsidRPr="000E0A46">
        <w:rPr>
          <w:b/>
        </w:rPr>
        <w:t>How will GPs record a national data opt-out?</w:t>
      </w:r>
    </w:p>
    <w:p w14:paraId="04C38218" w14:textId="77777777" w:rsidR="00A941EC" w:rsidRDefault="00A941EC" w:rsidP="00203604">
      <w:pPr>
        <w:spacing w:after="0"/>
      </w:pPr>
    </w:p>
    <w:p w14:paraId="5B628F2F" w14:textId="77777777" w:rsidR="00992EAB" w:rsidRDefault="00992EAB" w:rsidP="00203604">
      <w:pPr>
        <w:spacing w:after="0"/>
      </w:pPr>
      <w:r>
        <w:t>The national data opt-out will not be set by GPs or through GP systems. Individuals will be able to register an opt-out online and via the telephone number that will be included on the materials you will receive</w:t>
      </w:r>
      <w:r w:rsidR="006545EE">
        <w:t>.</w:t>
      </w:r>
    </w:p>
    <w:p w14:paraId="6F1BEE50" w14:textId="77777777" w:rsidR="00A941EC" w:rsidRDefault="00A941EC" w:rsidP="00203604">
      <w:pPr>
        <w:spacing w:after="0"/>
      </w:pPr>
    </w:p>
    <w:p w14:paraId="1D927703" w14:textId="77777777" w:rsidR="00E37D5A" w:rsidRDefault="00E37D5A" w:rsidP="00203604">
      <w:pPr>
        <w:spacing w:after="0"/>
      </w:pPr>
    </w:p>
    <w:p w14:paraId="16EC82FD" w14:textId="77777777" w:rsidR="00E37D5A" w:rsidRDefault="00E37D5A" w:rsidP="00203604">
      <w:pPr>
        <w:spacing w:after="0"/>
      </w:pPr>
    </w:p>
    <w:p w14:paraId="0A69CFAC" w14:textId="77777777" w:rsidR="00E37D5A" w:rsidRDefault="00E37D5A" w:rsidP="00203604">
      <w:pPr>
        <w:spacing w:after="0"/>
      </w:pPr>
    </w:p>
    <w:p w14:paraId="1850AFF6" w14:textId="77777777" w:rsidR="00E37D5A" w:rsidRDefault="00E37D5A" w:rsidP="00203604">
      <w:pPr>
        <w:spacing w:after="0"/>
      </w:pPr>
    </w:p>
    <w:p w14:paraId="6A7B25DD" w14:textId="77777777" w:rsidR="00992EAB" w:rsidRPr="000E0A46" w:rsidRDefault="00992EAB" w:rsidP="00203604">
      <w:pPr>
        <w:pStyle w:val="ListParagraph"/>
        <w:numPr>
          <w:ilvl w:val="0"/>
          <w:numId w:val="11"/>
        </w:numPr>
        <w:spacing w:after="0"/>
        <w:contextualSpacing w:val="0"/>
        <w:textboxTightWrap w:val="none"/>
        <w:rPr>
          <w:b/>
        </w:rPr>
      </w:pPr>
      <w:r w:rsidRPr="000E0A46">
        <w:rPr>
          <w:b/>
        </w:rPr>
        <w:lastRenderedPageBreak/>
        <w:t>How do I know if my patients have had their type 2 objection changed to the national data opt-out?</w:t>
      </w:r>
    </w:p>
    <w:p w14:paraId="116883A7" w14:textId="77777777" w:rsidR="00A941EC" w:rsidRDefault="00A941EC" w:rsidP="008C30E0"/>
    <w:p w14:paraId="718F5483" w14:textId="77777777" w:rsidR="00992EAB" w:rsidRDefault="00992EAB" w:rsidP="008C30E0">
      <w:r>
        <w:t>All practices that have participated in the GPES collection of type 2 objections can be assured that their patients’ objections will be automatically changed to the new opt-out on 25 May 2018.</w:t>
      </w:r>
    </w:p>
    <w:p w14:paraId="22AA244C" w14:textId="77777777" w:rsidR="00992EAB" w:rsidRDefault="00992EAB" w:rsidP="00203604">
      <w:pPr>
        <w:spacing w:after="0"/>
      </w:pPr>
      <w:r w:rsidRPr="00782307">
        <w:t>If your practice has never participated in the GPES Patient Objections Manag</w:t>
      </w:r>
      <w:r w:rsidRPr="00D37553">
        <w:t xml:space="preserve">ement (POM) data extract, then </w:t>
      </w:r>
      <w:r>
        <w:t>your patients’</w:t>
      </w:r>
      <w:r w:rsidRPr="00D37553">
        <w:t xml:space="preserve"> type 2 objections will never have been received by NHS Digital, so they cannot be converted</w:t>
      </w:r>
      <w:r w:rsidRPr="003D7D69">
        <w:t xml:space="preserve">. </w:t>
      </w:r>
    </w:p>
    <w:p w14:paraId="743F3114" w14:textId="77777777" w:rsidR="004B6D98" w:rsidRDefault="004B6D98" w:rsidP="00203604">
      <w:pPr>
        <w:spacing w:after="0"/>
      </w:pPr>
    </w:p>
    <w:p w14:paraId="374AB252" w14:textId="77777777" w:rsidR="00992EAB" w:rsidRDefault="00992EAB" w:rsidP="00203604">
      <w:pPr>
        <w:spacing w:after="0"/>
      </w:pPr>
      <w:r>
        <w:t xml:space="preserve">There is still time for you to agree </w:t>
      </w:r>
      <w:r w:rsidR="00F973D6">
        <w:t xml:space="preserve">to </w:t>
      </w:r>
      <w:r w:rsidR="008C29C6">
        <w:t>participate in</w:t>
      </w:r>
      <w:r>
        <w:t xml:space="preserve"> the POM data extract.</w:t>
      </w:r>
    </w:p>
    <w:p w14:paraId="47A7B68D" w14:textId="77777777" w:rsidR="00992EAB" w:rsidRDefault="00992EAB" w:rsidP="00203604">
      <w:pPr>
        <w:spacing w:after="0"/>
        <w:rPr>
          <w:b/>
        </w:rPr>
      </w:pPr>
    </w:p>
    <w:p w14:paraId="081312FF" w14:textId="77777777" w:rsidR="00992EAB" w:rsidRPr="000E0A46" w:rsidRDefault="00992EAB" w:rsidP="00203604">
      <w:pPr>
        <w:pStyle w:val="ListParagraph"/>
        <w:numPr>
          <w:ilvl w:val="0"/>
          <w:numId w:val="11"/>
        </w:numPr>
        <w:spacing w:after="0"/>
        <w:contextualSpacing w:val="0"/>
        <w:textboxTightWrap w:val="none"/>
        <w:rPr>
          <w:b/>
        </w:rPr>
      </w:pPr>
      <w:r w:rsidRPr="000E0A46">
        <w:rPr>
          <w:b/>
        </w:rPr>
        <w:t>How do I know if my practice has participated in the GPES collection of type 2 objections?</w:t>
      </w:r>
    </w:p>
    <w:p w14:paraId="5ECC76F5" w14:textId="77777777" w:rsidR="00A941EC" w:rsidRDefault="00A941EC" w:rsidP="00203604">
      <w:pPr>
        <w:spacing w:after="0"/>
      </w:pPr>
    </w:p>
    <w:p w14:paraId="64FC894A" w14:textId="77777777" w:rsidR="00992EAB" w:rsidRDefault="00992EAB" w:rsidP="00203604">
      <w:pPr>
        <w:spacing w:after="0"/>
      </w:pPr>
      <w:r>
        <w:t>O</w:t>
      </w:r>
      <w:r w:rsidRPr="00FB4461">
        <w:t xml:space="preserve">pen the </w:t>
      </w:r>
      <w:r w:rsidRPr="001157CA">
        <w:t>Calculating Quality Reporting Service (CQRS)</w:t>
      </w:r>
      <w:r>
        <w:t xml:space="preserve"> system </w:t>
      </w:r>
      <w:r w:rsidRPr="00FB4461">
        <w:t>and select the Participation Management Tab.</w:t>
      </w:r>
      <w:r>
        <w:t xml:space="preserve"> From the Quality Service Status drop down box choose the Approved option, you will then see a list of all services approved for your practice.</w:t>
      </w:r>
      <w:r w:rsidR="00E0368A" w:rsidRPr="00E0368A">
        <w:t xml:space="preserve"> </w:t>
      </w:r>
      <w:r w:rsidR="00E0368A">
        <w:t xml:space="preserve">As the POM data extract </w:t>
      </w:r>
      <w:r w:rsidR="00E0368A" w:rsidRPr="00E0368A">
        <w:t>has been available in CQRS since 2015/16, you may have to adjust the financial year via the drop-down box to check your participation.</w:t>
      </w:r>
    </w:p>
    <w:p w14:paraId="472BD87D" w14:textId="77777777" w:rsidR="00795BAB" w:rsidRDefault="00795BAB">
      <w:pPr>
        <w:spacing w:after="0"/>
        <w:textboxTightWrap w:val="none"/>
      </w:pPr>
    </w:p>
    <w:p w14:paraId="781D0FDE" w14:textId="77777777" w:rsidR="00992EAB" w:rsidRPr="000E0A46" w:rsidRDefault="00992EAB" w:rsidP="00203604">
      <w:pPr>
        <w:pStyle w:val="ListParagraph"/>
        <w:numPr>
          <w:ilvl w:val="0"/>
          <w:numId w:val="11"/>
        </w:numPr>
        <w:spacing w:after="0"/>
        <w:contextualSpacing w:val="0"/>
        <w:textboxTightWrap w:val="none"/>
        <w:rPr>
          <w:b/>
        </w:rPr>
      </w:pPr>
      <w:r w:rsidRPr="000E0A46">
        <w:rPr>
          <w:b/>
        </w:rPr>
        <w:t>Why will type 2 codes still be available in GP systems on 25 May 2018?</w:t>
      </w:r>
    </w:p>
    <w:p w14:paraId="0DF6BD66" w14:textId="77777777" w:rsidR="00A941EC" w:rsidRDefault="00A941EC" w:rsidP="001A5C2F"/>
    <w:p w14:paraId="4DCCAE5F" w14:textId="77777777" w:rsidR="001A5C2F" w:rsidRDefault="001A5C2F" w:rsidP="001A5C2F">
      <w:pPr>
        <w:rPr>
          <w:rFonts w:cs="Arial"/>
        </w:rPr>
      </w:pPr>
      <w:r w:rsidRPr="00CB0065">
        <w:t xml:space="preserve">Read v2/CTv3 codes are now ‘legacy’ terminologies </w:t>
      </w:r>
      <w:r>
        <w:t xml:space="preserve">and being replaced by the SNOMED clinical terminology standard from 1 April 2018. As part of this process </w:t>
      </w:r>
      <w:r>
        <w:rPr>
          <w:rFonts w:cs="Arial"/>
        </w:rPr>
        <w:t xml:space="preserve">all existing Read v2/CTv3 codes have been mapped to an equivalent SNOMED CT code so GP practices will continue to be able to set type 2 objections after the SNOMED CT go-live date. </w:t>
      </w:r>
    </w:p>
    <w:p w14:paraId="404A54D1" w14:textId="77777777" w:rsidR="00C00F11" w:rsidRDefault="00C00F11" w:rsidP="00C00F11">
      <w:pPr>
        <w:spacing w:after="0"/>
      </w:pPr>
      <w:r>
        <w:t xml:space="preserve">It has not been possible to remove the codes from selection in time for 25 May 2018. The intention is to withdraw the type 2 codes in October 2018, as part of the next planned SNOMED </w:t>
      </w:r>
      <w:r w:rsidR="001A66F1">
        <w:t>CT</w:t>
      </w:r>
      <w:r>
        <w:t xml:space="preserve"> code release.</w:t>
      </w:r>
    </w:p>
    <w:p w14:paraId="7EA4BBC0" w14:textId="77777777" w:rsidR="001A5C2F" w:rsidRDefault="001A5C2F" w:rsidP="001D7C2A">
      <w:pPr>
        <w:spacing w:after="0"/>
        <w:rPr>
          <w:rFonts w:cs="Arial"/>
        </w:rPr>
      </w:pPr>
    </w:p>
    <w:p w14:paraId="10C3AF30" w14:textId="77777777" w:rsidR="00D177DF" w:rsidRPr="000E0A46" w:rsidRDefault="00D177DF" w:rsidP="00D177DF">
      <w:pPr>
        <w:pStyle w:val="ListParagraph"/>
        <w:numPr>
          <w:ilvl w:val="0"/>
          <w:numId w:val="11"/>
        </w:numPr>
        <w:spacing w:after="0"/>
        <w:contextualSpacing w:val="0"/>
        <w:textboxTightWrap w:val="none"/>
        <w:rPr>
          <w:b/>
        </w:rPr>
      </w:pPr>
      <w:r w:rsidRPr="000E0A46">
        <w:rPr>
          <w:b/>
        </w:rPr>
        <w:t xml:space="preserve">What </w:t>
      </w:r>
      <w:r w:rsidR="00832ADE">
        <w:rPr>
          <w:b/>
        </w:rPr>
        <w:t>does withdrawal of the</w:t>
      </w:r>
      <w:r w:rsidRPr="000E0A46">
        <w:rPr>
          <w:b/>
        </w:rPr>
        <w:t xml:space="preserve"> type 2 code </w:t>
      </w:r>
      <w:r w:rsidR="00832ADE">
        <w:rPr>
          <w:b/>
        </w:rPr>
        <w:t>mean</w:t>
      </w:r>
      <w:r w:rsidRPr="000E0A46">
        <w:rPr>
          <w:b/>
        </w:rPr>
        <w:t>?</w:t>
      </w:r>
    </w:p>
    <w:p w14:paraId="3E24706C" w14:textId="77777777" w:rsidR="00A941EC" w:rsidRDefault="00A941EC" w:rsidP="001A5C2F">
      <w:pPr>
        <w:spacing w:after="0"/>
        <w:rPr>
          <w:rFonts w:cs="Arial"/>
        </w:rPr>
      </w:pPr>
    </w:p>
    <w:p w14:paraId="16F9AA9D" w14:textId="77777777" w:rsidR="00D177DF" w:rsidRDefault="001A5C2F" w:rsidP="001A5C2F">
      <w:pPr>
        <w:spacing w:after="0"/>
      </w:pPr>
      <w:r w:rsidRPr="009C64BC">
        <w:rPr>
          <w:rFonts w:cs="Arial"/>
        </w:rPr>
        <w:t xml:space="preserve">SNOMED CT </w:t>
      </w:r>
      <w:r>
        <w:rPr>
          <w:rFonts w:cs="Arial"/>
        </w:rPr>
        <w:t>allows for codes to be removed from selection while still preserving the original code in the patient’s electronic record</w:t>
      </w:r>
      <w:r w:rsidR="00C940A9">
        <w:rPr>
          <w:rFonts w:cs="Arial"/>
        </w:rPr>
        <w:t xml:space="preserve">, so it will still be possible to see type 2 objection codes that have previously been recorded </w:t>
      </w:r>
      <w:r w:rsidR="0019035D">
        <w:rPr>
          <w:rFonts w:cs="Arial"/>
        </w:rPr>
        <w:t>in the patients record.</w:t>
      </w:r>
    </w:p>
    <w:p w14:paraId="0313188A" w14:textId="77777777" w:rsidR="00203604" w:rsidRDefault="00203604">
      <w:pPr>
        <w:spacing w:after="0"/>
        <w:textboxTightWrap w:val="none"/>
      </w:pPr>
    </w:p>
    <w:p w14:paraId="0EA10EE6" w14:textId="77777777" w:rsidR="00992EAB" w:rsidRPr="000E0A46" w:rsidRDefault="00992EAB" w:rsidP="00203604">
      <w:pPr>
        <w:pStyle w:val="ListParagraph"/>
        <w:numPr>
          <w:ilvl w:val="0"/>
          <w:numId w:val="11"/>
        </w:numPr>
        <w:spacing w:after="0"/>
        <w:contextualSpacing w:val="0"/>
        <w:textboxTightWrap w:val="none"/>
        <w:rPr>
          <w:b/>
        </w:rPr>
      </w:pPr>
      <w:r w:rsidRPr="000E0A46">
        <w:rPr>
          <w:b/>
        </w:rPr>
        <w:t>What happens if a type 2 code is recorded on 25 May 2018 or later?</w:t>
      </w:r>
    </w:p>
    <w:p w14:paraId="53C539D7" w14:textId="77777777" w:rsidR="00A941EC" w:rsidRDefault="00A941EC" w:rsidP="00626935"/>
    <w:p w14:paraId="5048C4FF" w14:textId="77777777" w:rsidR="003B4EF6" w:rsidRDefault="003B4EF6" w:rsidP="003B4EF6">
      <w:r>
        <w:t xml:space="preserve">Type 2 codes </w:t>
      </w:r>
      <w:r w:rsidR="00F424F1">
        <w:t xml:space="preserve">should </w:t>
      </w:r>
      <w:r>
        <w:t>not be used after 24 May 2018 and it is important to e</w:t>
      </w:r>
      <w:r w:rsidRPr="00AF72E2">
        <w:t xml:space="preserve">nsure that processes </w:t>
      </w:r>
      <w:r>
        <w:t xml:space="preserve">such as new patient registrations </w:t>
      </w:r>
      <w:r w:rsidRPr="00AF72E2">
        <w:t xml:space="preserve">and data entry templates are updated to prevent </w:t>
      </w:r>
      <w:r>
        <w:t>this from happening.</w:t>
      </w:r>
    </w:p>
    <w:p w14:paraId="12BA46F4" w14:textId="77777777" w:rsidR="003B4EF6" w:rsidRDefault="003B4EF6" w:rsidP="003B4EF6">
      <w:r>
        <w:t xml:space="preserve">There will be a </w:t>
      </w:r>
      <w:r w:rsidR="00A95E1A">
        <w:t xml:space="preserve">transitional </w:t>
      </w:r>
      <w:r>
        <w:t xml:space="preserve">period </w:t>
      </w:r>
      <w:r w:rsidR="0061194F">
        <w:t xml:space="preserve">through </w:t>
      </w:r>
      <w:r w:rsidR="00E65158">
        <w:t xml:space="preserve">to the last GPES collection at the beginning of October 2018 </w:t>
      </w:r>
      <w:r>
        <w:t xml:space="preserve">where type 2 objections recorded </w:t>
      </w:r>
      <w:r w:rsidR="00F57FC9">
        <w:t xml:space="preserve">on or after 25 May 2018 </w:t>
      </w:r>
      <w:r w:rsidR="00A44B60">
        <w:t>will continue to</w:t>
      </w:r>
      <w:r>
        <w:t xml:space="preserve"> be </w:t>
      </w:r>
      <w:r>
        <w:lastRenderedPageBreak/>
        <w:t xml:space="preserve">collected and converted to national data opt-outs. Registering a type 2 objection code after this </w:t>
      </w:r>
      <w:r w:rsidR="00A44B60">
        <w:t xml:space="preserve">last GPES collection in October 2018 </w:t>
      </w:r>
      <w:r>
        <w:t xml:space="preserve">will mean </w:t>
      </w:r>
      <w:r w:rsidRPr="00AF72E2">
        <w:t xml:space="preserve">the patient will </w:t>
      </w:r>
      <w:r w:rsidRPr="00A44B60">
        <w:rPr>
          <w:b/>
        </w:rPr>
        <w:t>not</w:t>
      </w:r>
      <w:r w:rsidRPr="00AF72E2">
        <w:t xml:space="preserve"> have a national data opt-out automatically put in place.</w:t>
      </w:r>
    </w:p>
    <w:p w14:paraId="0F40A9BA" w14:textId="77777777" w:rsidR="003B4EF6" w:rsidRDefault="003B4EF6" w:rsidP="003B4EF6">
      <w:pPr>
        <w:spacing w:after="0"/>
      </w:pPr>
      <w:r>
        <w:t>Where type 2 codes are converted in this period we will inform those practices that have set type 2 objections and we will write out to those patients affected to inform them of the change to the national data opt-out.</w:t>
      </w:r>
    </w:p>
    <w:p w14:paraId="3EBC090E" w14:textId="77777777" w:rsidR="00992EAB" w:rsidRDefault="00992EAB" w:rsidP="00203604">
      <w:pPr>
        <w:spacing w:after="0"/>
      </w:pPr>
    </w:p>
    <w:p w14:paraId="4EB438AC" w14:textId="77777777" w:rsidR="003B4EF6" w:rsidRDefault="003B4EF6" w:rsidP="00203604">
      <w:pPr>
        <w:pStyle w:val="ListParagraph"/>
        <w:numPr>
          <w:ilvl w:val="0"/>
          <w:numId w:val="11"/>
        </w:numPr>
        <w:spacing w:after="0"/>
        <w:contextualSpacing w:val="0"/>
        <w:textboxTightWrap w:val="none"/>
        <w:rPr>
          <w:b/>
        </w:rPr>
      </w:pPr>
      <w:r>
        <w:rPr>
          <w:b/>
        </w:rPr>
        <w:t xml:space="preserve">How long will this transitional period last? </w:t>
      </w:r>
    </w:p>
    <w:p w14:paraId="72EF0F79" w14:textId="77777777" w:rsidR="003B4EF6" w:rsidRDefault="003B4EF6" w:rsidP="003B4EF6">
      <w:pPr>
        <w:spacing w:after="0"/>
        <w:textboxTightWrap w:val="none"/>
        <w:rPr>
          <w:b/>
        </w:rPr>
      </w:pPr>
    </w:p>
    <w:p w14:paraId="583191DD" w14:textId="77777777" w:rsidR="000F5418" w:rsidRDefault="00EA2B7F" w:rsidP="000F5418">
      <w:pPr>
        <w:spacing w:after="0"/>
      </w:pPr>
      <w:r>
        <w:t>The transition</w:t>
      </w:r>
      <w:r w:rsidR="008C29C6">
        <w:t>al</w:t>
      </w:r>
      <w:r>
        <w:t xml:space="preserve"> period will end with the last POM GPES collection at the beginning of October 2018</w:t>
      </w:r>
      <w:r w:rsidR="00265BF8">
        <w:t>.</w:t>
      </w:r>
    </w:p>
    <w:p w14:paraId="00B59D56" w14:textId="77777777" w:rsidR="003B4EF6" w:rsidRPr="003B4EF6" w:rsidRDefault="003B4EF6" w:rsidP="003B4EF6">
      <w:pPr>
        <w:spacing w:after="0"/>
        <w:textboxTightWrap w:val="none"/>
        <w:rPr>
          <w:b/>
        </w:rPr>
      </w:pPr>
    </w:p>
    <w:p w14:paraId="52619BBF" w14:textId="77777777" w:rsidR="00992EAB" w:rsidRPr="000E0A46" w:rsidRDefault="00992EAB" w:rsidP="00203604">
      <w:pPr>
        <w:pStyle w:val="ListParagraph"/>
        <w:numPr>
          <w:ilvl w:val="0"/>
          <w:numId w:val="11"/>
        </w:numPr>
        <w:spacing w:after="0"/>
        <w:contextualSpacing w:val="0"/>
        <w:textboxTightWrap w:val="none"/>
        <w:rPr>
          <w:b/>
        </w:rPr>
      </w:pPr>
      <w:r w:rsidRPr="000E0A46">
        <w:rPr>
          <w:b/>
        </w:rPr>
        <w:t>What else do I need to do to be ready for the national data opt-out being implemented in May 2018?</w:t>
      </w:r>
    </w:p>
    <w:p w14:paraId="05A0CE60" w14:textId="77777777" w:rsidR="00A941EC" w:rsidRDefault="00A941EC" w:rsidP="00203604">
      <w:pPr>
        <w:spacing w:after="0"/>
      </w:pPr>
    </w:p>
    <w:p w14:paraId="0519EB9B" w14:textId="77777777" w:rsidR="00992EAB" w:rsidRPr="00203604" w:rsidRDefault="00E31421" w:rsidP="00203604">
      <w:pPr>
        <w:spacing w:after="0"/>
        <w:rPr>
          <w:rFonts w:cs="Arial"/>
        </w:rPr>
      </w:pPr>
      <w:r>
        <w:t>T</w:t>
      </w:r>
      <w:r w:rsidR="00992EAB">
        <w:t xml:space="preserve">he Royal College of General Practitioners are </w:t>
      </w:r>
      <w:r>
        <w:t xml:space="preserve">also </w:t>
      </w:r>
      <w:r w:rsidR="00992EAB">
        <w:t>developing materials to support GPs, nurses and practice staff to understand more about the wider uses of data and the national data opt-out</w:t>
      </w:r>
      <w:r w:rsidR="007209E8">
        <w:t>. We have also developed a</w:t>
      </w:r>
      <w:r w:rsidR="00992EAB">
        <w:t xml:space="preserve"> checklist of actions to consider in preparation for the introduction of the national data opt-out. These materials will be available at: </w:t>
      </w:r>
      <w:hyperlink r:id="rId14" w:history="1">
        <w:r w:rsidR="00992EAB" w:rsidRPr="00203604">
          <w:rPr>
            <w:rStyle w:val="Hyperlink"/>
            <w:rFonts w:ascii="Arial" w:hAnsi="Arial" w:cs="Arial"/>
          </w:rPr>
          <w:t>https://digital.nhs.uk/national-data-opt-out</w:t>
        </w:r>
      </w:hyperlink>
      <w:r w:rsidR="00992EAB" w:rsidRPr="00203604">
        <w:rPr>
          <w:rFonts w:cs="Arial"/>
        </w:rPr>
        <w:t>.</w:t>
      </w:r>
    </w:p>
    <w:p w14:paraId="4E704BA9" w14:textId="77777777" w:rsidR="00A941EC" w:rsidRDefault="00A941EC" w:rsidP="00203604">
      <w:pPr>
        <w:spacing w:after="0"/>
      </w:pPr>
    </w:p>
    <w:p w14:paraId="45136EA2" w14:textId="77777777" w:rsidR="00DA51E7" w:rsidRDefault="00D12512" w:rsidP="00203604">
      <w:pPr>
        <w:pStyle w:val="ListParagraph"/>
        <w:numPr>
          <w:ilvl w:val="0"/>
          <w:numId w:val="11"/>
        </w:numPr>
        <w:spacing w:after="0"/>
        <w:contextualSpacing w:val="0"/>
        <w:textboxTightWrap w:val="none"/>
        <w:rPr>
          <w:b/>
        </w:rPr>
      </w:pPr>
      <w:r>
        <w:rPr>
          <w:b/>
        </w:rPr>
        <w:t>When will communication materials be made available</w:t>
      </w:r>
      <w:r w:rsidR="00DA51E7">
        <w:rPr>
          <w:b/>
        </w:rPr>
        <w:t xml:space="preserve">? </w:t>
      </w:r>
    </w:p>
    <w:p w14:paraId="15880755" w14:textId="77777777" w:rsidR="00DA51E7" w:rsidRDefault="00DA51E7" w:rsidP="00DA51E7">
      <w:pPr>
        <w:spacing w:after="0"/>
        <w:textboxTightWrap w:val="none"/>
        <w:rPr>
          <w:b/>
        </w:rPr>
      </w:pPr>
    </w:p>
    <w:p w14:paraId="1E8E107D" w14:textId="77777777" w:rsidR="000F282C" w:rsidRPr="003E42B2" w:rsidRDefault="000F282C" w:rsidP="000F282C">
      <w:pPr>
        <w:pStyle w:val="ListParagraph"/>
        <w:spacing w:after="0"/>
        <w:ind w:left="0"/>
        <w:contextualSpacing w:val="0"/>
        <w:textboxTightWrap w:val="none"/>
      </w:pPr>
      <w:r>
        <w:t xml:space="preserve">Electronic copies of the communication materials will be available from 25 May 2018 at: </w:t>
      </w:r>
      <w:hyperlink r:id="rId15" w:history="1">
        <w:r w:rsidRPr="00D211D8">
          <w:rPr>
            <w:rStyle w:val="Hyperlink"/>
            <w:rFonts w:ascii="Arial" w:hAnsi="Arial"/>
          </w:rPr>
          <w:t>https://digital.nhs.uk/national-data-opt-out</w:t>
        </w:r>
      </w:hyperlink>
      <w:r>
        <w:t>, also check this website for updates on the schedule of when printed patient materials will be delivered to GP practices.</w:t>
      </w:r>
      <w:r w:rsidRPr="003E42B2">
        <w:t xml:space="preserve"> </w:t>
      </w:r>
    </w:p>
    <w:p w14:paraId="4B1B3F43" w14:textId="77777777" w:rsidR="00DA51E7" w:rsidRPr="00DA51E7" w:rsidRDefault="00DA51E7" w:rsidP="00DA51E7">
      <w:pPr>
        <w:spacing w:after="0"/>
        <w:textboxTightWrap w:val="none"/>
        <w:rPr>
          <w:b/>
        </w:rPr>
      </w:pPr>
    </w:p>
    <w:p w14:paraId="6F56BB7D" w14:textId="77777777" w:rsidR="00992EAB" w:rsidRPr="000E0A46" w:rsidRDefault="00992EAB" w:rsidP="00203604">
      <w:pPr>
        <w:pStyle w:val="ListParagraph"/>
        <w:numPr>
          <w:ilvl w:val="0"/>
          <w:numId w:val="11"/>
        </w:numPr>
        <w:spacing w:after="0"/>
        <w:contextualSpacing w:val="0"/>
        <w:textboxTightWrap w:val="none"/>
        <w:rPr>
          <w:b/>
        </w:rPr>
      </w:pPr>
      <w:r w:rsidRPr="000E0A46">
        <w:rPr>
          <w:b/>
        </w:rPr>
        <w:t>What about other patient opt-outs</w:t>
      </w:r>
      <w:r w:rsidR="000F282C">
        <w:rPr>
          <w:b/>
        </w:rPr>
        <w:t xml:space="preserve"> and </w:t>
      </w:r>
      <w:r w:rsidRPr="000E0A46">
        <w:rPr>
          <w:b/>
        </w:rPr>
        <w:t>objections?</w:t>
      </w:r>
    </w:p>
    <w:p w14:paraId="6D63958E" w14:textId="77777777" w:rsidR="00A941EC" w:rsidRDefault="00A941EC" w:rsidP="00203604">
      <w:pPr>
        <w:spacing w:after="0"/>
      </w:pPr>
    </w:p>
    <w:p w14:paraId="206D5F33" w14:textId="77777777" w:rsidR="00992EAB" w:rsidRDefault="00992EAB" w:rsidP="00203604">
      <w:pPr>
        <w:spacing w:after="0"/>
      </w:pPr>
      <w:r w:rsidRPr="00271AB5">
        <w:t>Any other types of opt-out</w:t>
      </w:r>
      <w:r w:rsidR="000F282C">
        <w:t xml:space="preserve"> or </w:t>
      </w:r>
      <w:r>
        <w:t>objection</w:t>
      </w:r>
      <w:r w:rsidR="000F282C">
        <w:t>s</w:t>
      </w:r>
      <w:r>
        <w:t xml:space="preserve"> </w:t>
      </w:r>
      <w:r w:rsidRPr="00271AB5">
        <w:t xml:space="preserve">that </w:t>
      </w:r>
      <w:r>
        <w:t>are held in the patient’s electronic record will still apply and it is for your practice as the data controller to ensure these are applied where relevant.</w:t>
      </w:r>
    </w:p>
    <w:p w14:paraId="1EE9EFB0" w14:textId="77777777" w:rsidR="00992EAB" w:rsidRPr="00465E08" w:rsidRDefault="00992EAB" w:rsidP="00203604">
      <w:pPr>
        <w:spacing w:after="0"/>
        <w:rPr>
          <w:b/>
        </w:rPr>
      </w:pPr>
    </w:p>
    <w:p w14:paraId="0F9CE358" w14:textId="77777777" w:rsidR="00992EAB" w:rsidRPr="00465E08" w:rsidRDefault="00992EAB" w:rsidP="00203604">
      <w:pPr>
        <w:pStyle w:val="ListParagraph"/>
        <w:numPr>
          <w:ilvl w:val="0"/>
          <w:numId w:val="11"/>
        </w:numPr>
        <w:spacing w:after="0"/>
        <w:contextualSpacing w:val="0"/>
        <w:textboxTightWrap w:val="none"/>
        <w:rPr>
          <w:b/>
        </w:rPr>
      </w:pPr>
      <w:r w:rsidRPr="00465E08">
        <w:rPr>
          <w:b/>
        </w:rPr>
        <w:t>What happens to type 1 objections?</w:t>
      </w:r>
    </w:p>
    <w:p w14:paraId="10CA677C" w14:textId="77777777" w:rsidR="00A941EC" w:rsidRDefault="00A941EC" w:rsidP="007E5F27"/>
    <w:p w14:paraId="3FF0C295" w14:textId="77777777" w:rsidR="00992EAB" w:rsidRDefault="00992EAB" w:rsidP="007E5F27">
      <w:r>
        <w:t xml:space="preserve">The type 1 objection is intended </w:t>
      </w:r>
      <w:r w:rsidRPr="00BD2442">
        <w:t xml:space="preserve">to prevent the sharing of a patient’s </w:t>
      </w:r>
      <w:r w:rsidR="00FA34B7">
        <w:t xml:space="preserve">personal </w:t>
      </w:r>
      <w:r w:rsidRPr="00BD2442">
        <w:t xml:space="preserve">confidential information </w:t>
      </w:r>
      <w:r>
        <w:t xml:space="preserve">held by the GP practice </w:t>
      </w:r>
      <w:r w:rsidRPr="00BD2442">
        <w:t>for purposes beyond the patient’s individual care</w:t>
      </w:r>
      <w:r w:rsidRPr="00B7035F">
        <w:t xml:space="preserve"> and </w:t>
      </w:r>
      <w:r>
        <w:t>is</w:t>
      </w:r>
      <w:r w:rsidRPr="00B7035F">
        <w:t xml:space="preserve"> recorded using the following code:</w:t>
      </w:r>
    </w:p>
    <w:tbl>
      <w:tblPr>
        <w:tblW w:w="9801" w:type="dxa"/>
        <w:tblInd w:w="-10" w:type="dxa"/>
        <w:tblLayout w:type="fixed"/>
        <w:tblCellMar>
          <w:left w:w="0" w:type="dxa"/>
          <w:right w:w="0" w:type="dxa"/>
        </w:tblCellMar>
        <w:tblLook w:val="04A0" w:firstRow="1" w:lastRow="0" w:firstColumn="1" w:lastColumn="0" w:noHBand="0" w:noVBand="1"/>
      </w:tblPr>
      <w:tblGrid>
        <w:gridCol w:w="1276"/>
        <w:gridCol w:w="992"/>
        <w:gridCol w:w="851"/>
        <w:gridCol w:w="2126"/>
        <w:gridCol w:w="4556"/>
      </w:tblGrid>
      <w:tr w:rsidR="00992EAB" w:rsidRPr="00C76850" w14:paraId="2C1A4F61" w14:textId="77777777" w:rsidTr="001A3620">
        <w:trPr>
          <w:trHeight w:val="255"/>
        </w:trPr>
        <w:tc>
          <w:tcPr>
            <w:tcW w:w="1276" w:type="dxa"/>
            <w:tcBorders>
              <w:top w:val="single" w:sz="8" w:space="0" w:color="auto"/>
              <w:left w:val="single" w:sz="8" w:space="0" w:color="auto"/>
              <w:bottom w:val="single" w:sz="8" w:space="0" w:color="auto"/>
              <w:right w:val="single" w:sz="8" w:space="0" w:color="auto"/>
            </w:tcBorders>
          </w:tcPr>
          <w:p w14:paraId="1265B35C" w14:textId="77777777" w:rsidR="00992EAB" w:rsidRPr="00C76850" w:rsidRDefault="00992EAB" w:rsidP="00203604">
            <w:pPr>
              <w:spacing w:after="0"/>
              <w:jc w:val="center"/>
              <w:rPr>
                <w:rFonts w:cstheme="minorHAnsi"/>
              </w:rPr>
            </w:pPr>
          </w:p>
        </w:tc>
        <w:tc>
          <w:tcPr>
            <w:tcW w:w="992" w:type="dxa"/>
            <w:tcBorders>
              <w:top w:val="single" w:sz="8" w:space="0" w:color="auto"/>
              <w:left w:val="single" w:sz="8" w:space="0" w:color="auto"/>
              <w:bottom w:val="single" w:sz="8" w:space="0" w:color="auto"/>
              <w:right w:val="single" w:sz="8" w:space="0" w:color="auto"/>
            </w:tcBorders>
          </w:tcPr>
          <w:p w14:paraId="629E931B" w14:textId="77777777" w:rsidR="00992EAB" w:rsidRPr="00C76850" w:rsidRDefault="00992EAB" w:rsidP="00203604">
            <w:pPr>
              <w:spacing w:after="0"/>
              <w:ind w:left="-709" w:firstLine="709"/>
              <w:jc w:val="center"/>
              <w:rPr>
                <w:rFonts w:cstheme="minorHAnsi"/>
              </w:rPr>
            </w:pPr>
            <w:r w:rsidRPr="00C76850">
              <w:rPr>
                <w:rFonts w:cstheme="minorHAnsi"/>
              </w:rPr>
              <w:t>Read v2</w:t>
            </w:r>
          </w:p>
        </w:tc>
        <w:tc>
          <w:tcPr>
            <w:tcW w:w="851" w:type="dxa"/>
            <w:tcBorders>
              <w:top w:val="single" w:sz="8" w:space="0" w:color="auto"/>
              <w:left w:val="single" w:sz="8" w:space="0" w:color="auto"/>
              <w:bottom w:val="single" w:sz="8" w:space="0" w:color="auto"/>
              <w:right w:val="single" w:sz="8" w:space="0" w:color="auto"/>
            </w:tcBorders>
          </w:tcPr>
          <w:p w14:paraId="787E65F8" w14:textId="77777777" w:rsidR="00992EAB" w:rsidRPr="00C76850" w:rsidRDefault="00992EAB" w:rsidP="00203604">
            <w:pPr>
              <w:spacing w:after="0"/>
              <w:jc w:val="center"/>
              <w:rPr>
                <w:rFonts w:cstheme="minorHAnsi"/>
              </w:rPr>
            </w:pPr>
            <w:r w:rsidRPr="00C76850">
              <w:rPr>
                <w:rFonts w:cstheme="minorHAnsi"/>
              </w:rPr>
              <w:t>CTv3</w:t>
            </w:r>
          </w:p>
        </w:tc>
        <w:tc>
          <w:tcPr>
            <w:tcW w:w="2126" w:type="dxa"/>
            <w:tcBorders>
              <w:top w:val="single" w:sz="8" w:space="0" w:color="auto"/>
              <w:left w:val="single" w:sz="8" w:space="0" w:color="auto"/>
              <w:bottom w:val="single" w:sz="8" w:space="0" w:color="auto"/>
              <w:right w:val="single" w:sz="8" w:space="0" w:color="auto"/>
            </w:tcBorders>
          </w:tcPr>
          <w:p w14:paraId="241AE244" w14:textId="77777777" w:rsidR="00992EAB" w:rsidRPr="00C76850" w:rsidRDefault="00992EAB" w:rsidP="00203604">
            <w:pPr>
              <w:spacing w:after="0"/>
              <w:ind w:left="-533" w:firstLine="533"/>
              <w:jc w:val="center"/>
              <w:rPr>
                <w:rFonts w:cstheme="minorHAnsi"/>
              </w:rPr>
            </w:pPr>
            <w:r>
              <w:rPr>
                <w:rFonts w:cstheme="minorHAnsi"/>
              </w:rPr>
              <w:t>SNOMED CT</w:t>
            </w:r>
          </w:p>
        </w:tc>
        <w:tc>
          <w:tcPr>
            <w:tcW w:w="45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6671841" w14:textId="77777777" w:rsidR="00992EAB" w:rsidRPr="00C76850" w:rsidRDefault="00992EAB" w:rsidP="00203604">
            <w:pPr>
              <w:spacing w:after="0"/>
              <w:rPr>
                <w:rFonts w:cstheme="minorHAnsi"/>
              </w:rPr>
            </w:pPr>
            <w:r>
              <w:rPr>
                <w:rFonts w:cstheme="minorHAnsi"/>
              </w:rPr>
              <w:t>Rubric</w:t>
            </w:r>
          </w:p>
        </w:tc>
      </w:tr>
      <w:tr w:rsidR="00992EAB" w:rsidRPr="00C76850" w14:paraId="61FD02A6" w14:textId="77777777" w:rsidTr="00C84DDD">
        <w:trPr>
          <w:trHeight w:val="528"/>
        </w:trPr>
        <w:tc>
          <w:tcPr>
            <w:tcW w:w="1276" w:type="dxa"/>
            <w:tcBorders>
              <w:top w:val="nil"/>
              <w:left w:val="single" w:sz="8" w:space="0" w:color="auto"/>
              <w:bottom w:val="single" w:sz="8" w:space="0" w:color="auto"/>
              <w:right w:val="single" w:sz="8" w:space="0" w:color="auto"/>
            </w:tcBorders>
          </w:tcPr>
          <w:p w14:paraId="086406F2" w14:textId="77777777" w:rsidR="00992EAB" w:rsidRPr="00C76850" w:rsidRDefault="00992EAB" w:rsidP="00203604">
            <w:pPr>
              <w:spacing w:after="0"/>
              <w:ind w:left="-709" w:firstLine="709"/>
              <w:jc w:val="center"/>
              <w:rPr>
                <w:rFonts w:cstheme="minorHAnsi"/>
              </w:rPr>
            </w:pPr>
            <w:r>
              <w:rPr>
                <w:rFonts w:cstheme="minorHAnsi"/>
              </w:rPr>
              <w:t>Set Type 1</w:t>
            </w:r>
          </w:p>
        </w:tc>
        <w:tc>
          <w:tcPr>
            <w:tcW w:w="992" w:type="dxa"/>
            <w:tcBorders>
              <w:top w:val="nil"/>
              <w:left w:val="single" w:sz="8" w:space="0" w:color="auto"/>
              <w:bottom w:val="single" w:sz="8" w:space="0" w:color="auto"/>
              <w:right w:val="single" w:sz="8" w:space="0" w:color="auto"/>
            </w:tcBorders>
          </w:tcPr>
          <w:p w14:paraId="006B2911" w14:textId="77777777" w:rsidR="00992EAB" w:rsidRPr="00C76850" w:rsidRDefault="00992EAB" w:rsidP="00203604">
            <w:pPr>
              <w:spacing w:after="0"/>
              <w:ind w:left="-709" w:firstLine="709"/>
              <w:jc w:val="center"/>
              <w:rPr>
                <w:rFonts w:cstheme="minorHAnsi"/>
              </w:rPr>
            </w:pPr>
            <w:r w:rsidRPr="00C76850">
              <w:rPr>
                <w:rFonts w:cstheme="minorHAnsi"/>
              </w:rPr>
              <w:t>9Nu0</w:t>
            </w:r>
            <w:r>
              <w:rPr>
                <w:rFonts w:cstheme="minorHAnsi"/>
              </w:rPr>
              <w:t>.</w:t>
            </w:r>
          </w:p>
          <w:p w14:paraId="2A1318AA" w14:textId="77777777" w:rsidR="00992EAB" w:rsidRPr="00C76850" w:rsidRDefault="00992EAB" w:rsidP="00203604">
            <w:pPr>
              <w:spacing w:after="0"/>
              <w:ind w:left="-709" w:firstLine="709"/>
              <w:jc w:val="center"/>
              <w:rPr>
                <w:rFonts w:cstheme="minorHAnsi"/>
              </w:rPr>
            </w:pPr>
          </w:p>
        </w:tc>
        <w:tc>
          <w:tcPr>
            <w:tcW w:w="851" w:type="dxa"/>
            <w:tcBorders>
              <w:top w:val="nil"/>
              <w:left w:val="single" w:sz="8" w:space="0" w:color="auto"/>
              <w:bottom w:val="single" w:sz="8" w:space="0" w:color="auto"/>
              <w:right w:val="single" w:sz="8" w:space="0" w:color="auto"/>
            </w:tcBorders>
          </w:tcPr>
          <w:p w14:paraId="39A60109" w14:textId="77777777" w:rsidR="00992EAB" w:rsidRPr="00C76850" w:rsidRDefault="00992EAB" w:rsidP="00203604">
            <w:pPr>
              <w:spacing w:after="0"/>
              <w:jc w:val="center"/>
              <w:rPr>
                <w:rFonts w:cstheme="minorHAnsi"/>
              </w:rPr>
            </w:pPr>
            <w:r w:rsidRPr="00C76850">
              <w:rPr>
                <w:rFonts w:cstheme="minorHAnsi"/>
              </w:rPr>
              <w:t>XaZ89</w:t>
            </w:r>
          </w:p>
          <w:p w14:paraId="30827BFE" w14:textId="77777777" w:rsidR="00992EAB" w:rsidRPr="00C76850" w:rsidRDefault="00992EAB" w:rsidP="00203604">
            <w:pPr>
              <w:spacing w:after="0"/>
              <w:jc w:val="center"/>
              <w:rPr>
                <w:rFonts w:cstheme="minorHAnsi"/>
              </w:rPr>
            </w:pPr>
          </w:p>
        </w:tc>
        <w:tc>
          <w:tcPr>
            <w:tcW w:w="2126" w:type="dxa"/>
            <w:tcBorders>
              <w:top w:val="nil"/>
              <w:left w:val="single" w:sz="8" w:space="0" w:color="auto"/>
              <w:bottom w:val="single" w:sz="8" w:space="0" w:color="auto"/>
              <w:right w:val="single" w:sz="8" w:space="0" w:color="auto"/>
            </w:tcBorders>
          </w:tcPr>
          <w:p w14:paraId="18DB869C" w14:textId="77777777" w:rsidR="00992EAB" w:rsidRPr="00C76850" w:rsidRDefault="00992EAB" w:rsidP="00203604">
            <w:pPr>
              <w:spacing w:after="0"/>
              <w:jc w:val="center"/>
              <w:rPr>
                <w:rFonts w:cstheme="minorHAnsi"/>
              </w:rPr>
            </w:pPr>
            <w:r w:rsidRPr="009C0A58">
              <w:rPr>
                <w:rFonts w:cstheme="minorHAnsi"/>
              </w:rPr>
              <w:t>827241000000103</w:t>
            </w:r>
          </w:p>
        </w:tc>
        <w:tc>
          <w:tcPr>
            <w:tcW w:w="45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C7BF27" w14:textId="77777777" w:rsidR="00992EAB" w:rsidRPr="00C55F5F" w:rsidRDefault="00992EAB" w:rsidP="00203604">
            <w:pPr>
              <w:spacing w:after="0"/>
              <w:rPr>
                <w:rFonts w:cstheme="minorHAnsi"/>
                <w:i/>
              </w:rPr>
            </w:pPr>
            <w:r w:rsidRPr="00C76850">
              <w:rPr>
                <w:rFonts w:cstheme="minorHAnsi"/>
                <w:i/>
              </w:rPr>
              <w:t>‘Dissent from secondary use of GP patient identifiable data’</w:t>
            </w:r>
          </w:p>
        </w:tc>
      </w:tr>
    </w:tbl>
    <w:p w14:paraId="425B7F15" w14:textId="77777777" w:rsidR="00992EAB" w:rsidRDefault="00992EAB" w:rsidP="004443F8">
      <w:pPr>
        <w:spacing w:before="120" w:after="0"/>
      </w:pPr>
      <w:r>
        <w:t>As part of the review that identified a national data opt-out should be introduced, type 1 objections were considered, and it was agreed that they should continue to be respected until March 2020 when the Department of Health and Social Care will consult with the National Data Guardian on their removal.</w:t>
      </w:r>
    </w:p>
    <w:p w14:paraId="4B272E3B" w14:textId="77777777" w:rsidR="008958A2" w:rsidRDefault="008958A2" w:rsidP="00203604">
      <w:pPr>
        <w:tabs>
          <w:tab w:val="left" w:pos="4245"/>
        </w:tabs>
        <w:spacing w:after="0"/>
      </w:pPr>
    </w:p>
    <w:p w14:paraId="392572F6" w14:textId="77777777" w:rsidR="00283588" w:rsidRDefault="00283588" w:rsidP="00203604">
      <w:pPr>
        <w:tabs>
          <w:tab w:val="left" w:pos="4245"/>
        </w:tabs>
        <w:spacing w:after="0"/>
        <w:rPr>
          <w:b/>
        </w:rPr>
      </w:pPr>
      <w:r w:rsidRPr="00FF122B">
        <w:rPr>
          <w:b/>
        </w:rPr>
        <w:t>Genera</w:t>
      </w:r>
      <w:r w:rsidR="00FF122B" w:rsidRPr="00FF122B">
        <w:rPr>
          <w:b/>
        </w:rPr>
        <w:t>l Data Protection Regulation</w:t>
      </w:r>
      <w:r w:rsidR="007F4190">
        <w:rPr>
          <w:b/>
        </w:rPr>
        <w:t xml:space="preserve"> / </w:t>
      </w:r>
      <w:r w:rsidR="00FF122B" w:rsidRPr="00FF122B">
        <w:rPr>
          <w:b/>
        </w:rPr>
        <w:t>New Data Protection Legislation</w:t>
      </w:r>
    </w:p>
    <w:p w14:paraId="6CB825ED" w14:textId="77777777" w:rsidR="008F05C2" w:rsidRPr="008F05C2" w:rsidRDefault="008F05C2" w:rsidP="008F05C2">
      <w:pPr>
        <w:tabs>
          <w:tab w:val="left" w:pos="4245"/>
        </w:tabs>
        <w:spacing w:after="0"/>
        <w:rPr>
          <w:b/>
        </w:rPr>
      </w:pPr>
    </w:p>
    <w:p w14:paraId="6F93D7C7" w14:textId="77777777" w:rsidR="0042148E" w:rsidRPr="0042148E" w:rsidRDefault="008F05C2" w:rsidP="0042148E">
      <w:pPr>
        <w:pStyle w:val="ListParagraph"/>
        <w:numPr>
          <w:ilvl w:val="0"/>
          <w:numId w:val="11"/>
        </w:numPr>
        <w:spacing w:after="0"/>
        <w:rPr>
          <w:b/>
        </w:rPr>
      </w:pPr>
      <w:r w:rsidRPr="0042148E">
        <w:rPr>
          <w:b/>
        </w:rPr>
        <w:t>H</w:t>
      </w:r>
      <w:r w:rsidR="00017D99" w:rsidRPr="0042148E">
        <w:rPr>
          <w:b/>
        </w:rPr>
        <w:t xml:space="preserve">ow does this fit with </w:t>
      </w:r>
      <w:r w:rsidRPr="0042148E">
        <w:rPr>
          <w:b/>
        </w:rPr>
        <w:t xml:space="preserve">General Data Protection Regulation and </w:t>
      </w:r>
      <w:r w:rsidR="00017D99" w:rsidRPr="0042148E">
        <w:rPr>
          <w:b/>
        </w:rPr>
        <w:t>new data protection legislation</w:t>
      </w:r>
      <w:r w:rsidRPr="0042148E">
        <w:rPr>
          <w:b/>
        </w:rPr>
        <w:t>?</w:t>
      </w:r>
    </w:p>
    <w:p w14:paraId="15C9CFAD" w14:textId="77777777" w:rsidR="00711FE8" w:rsidRDefault="00711FE8" w:rsidP="00711FE8">
      <w:pPr>
        <w:pStyle w:val="ListParagraph"/>
        <w:spacing w:after="0"/>
        <w:ind w:left="360"/>
        <w:rPr>
          <w:b/>
        </w:rPr>
      </w:pPr>
    </w:p>
    <w:p w14:paraId="7A30E65A" w14:textId="77777777" w:rsidR="00711FE8" w:rsidRDefault="00711FE8" w:rsidP="00A941EC">
      <w:pPr>
        <w:pStyle w:val="ListParagraph"/>
        <w:spacing w:after="0"/>
        <w:ind w:left="0"/>
      </w:pPr>
      <w:r w:rsidRPr="00711FE8">
        <w:t xml:space="preserve">The </w:t>
      </w:r>
      <w:r>
        <w:t>national data opt-out is being introduced a</w:t>
      </w:r>
      <w:r w:rsidR="005F20E6">
        <w:t>t the same time as</w:t>
      </w:r>
      <w:r>
        <w:t xml:space="preserve"> </w:t>
      </w:r>
      <w:r w:rsidR="00466CEC">
        <w:t xml:space="preserve">new data protection legislation </w:t>
      </w:r>
      <w:r w:rsidR="00E40D75">
        <w:t xml:space="preserve">is </w:t>
      </w:r>
      <w:r w:rsidR="00466CEC">
        <w:t>coming into forc</w:t>
      </w:r>
      <w:r w:rsidR="00402AAD">
        <w:t xml:space="preserve">e as part of </w:t>
      </w:r>
      <w:r w:rsidR="00114DE0">
        <w:t>t</w:t>
      </w:r>
      <w:r w:rsidR="00F4412C" w:rsidRPr="00F4412C">
        <w:t>he EU General Data Protection Regulation (GDPR)</w:t>
      </w:r>
      <w:r w:rsidR="002B06F0">
        <w:t>.</w:t>
      </w:r>
      <w:r w:rsidR="002B06F0" w:rsidRPr="002B06F0">
        <w:t xml:space="preserve"> The national data opt-out is Government policy that sits alongside and is not replaced or changed by GDPR and the D</w:t>
      </w:r>
      <w:r w:rsidR="002C7F04">
        <w:t>ata</w:t>
      </w:r>
      <w:r w:rsidR="00D253CA">
        <w:t xml:space="preserve"> </w:t>
      </w:r>
      <w:r w:rsidR="002B06F0" w:rsidRPr="002B06F0">
        <w:t>P</w:t>
      </w:r>
      <w:r w:rsidR="00D253CA">
        <w:t xml:space="preserve">rotection </w:t>
      </w:r>
      <w:r w:rsidR="002B06F0" w:rsidRPr="002B06F0">
        <w:t>A</w:t>
      </w:r>
      <w:r w:rsidR="00D253CA">
        <w:t>ct</w:t>
      </w:r>
      <w:r w:rsidR="00E40985">
        <w:t xml:space="preserve"> and </w:t>
      </w:r>
      <w:r w:rsidR="002B06F0" w:rsidRPr="002B06F0">
        <w:t>is in addition to the data subject rights required by law</w:t>
      </w:r>
      <w:r w:rsidR="002746CA">
        <w:t>.</w:t>
      </w:r>
    </w:p>
    <w:p w14:paraId="410207FA" w14:textId="77777777" w:rsidR="00150158" w:rsidRDefault="00150158" w:rsidP="00150158">
      <w:pPr>
        <w:pStyle w:val="ListParagraph"/>
        <w:spacing w:after="0"/>
        <w:ind w:left="360"/>
        <w:rPr>
          <w:b/>
        </w:rPr>
      </w:pPr>
    </w:p>
    <w:p w14:paraId="05F8D046" w14:textId="77777777" w:rsidR="00150158" w:rsidRDefault="00150158" w:rsidP="00150158">
      <w:pPr>
        <w:pStyle w:val="ListParagraph"/>
        <w:numPr>
          <w:ilvl w:val="0"/>
          <w:numId w:val="11"/>
        </w:numPr>
        <w:spacing w:after="0"/>
        <w:rPr>
          <w:b/>
        </w:rPr>
      </w:pPr>
      <w:r>
        <w:rPr>
          <w:b/>
        </w:rPr>
        <w:t>Why introduce the national data opt-out at the same time as GDPR/new data protection legislation?</w:t>
      </w:r>
    </w:p>
    <w:p w14:paraId="355AC7BA" w14:textId="77777777" w:rsidR="00150158" w:rsidRDefault="00150158" w:rsidP="00150158">
      <w:pPr>
        <w:pStyle w:val="ListParagraph"/>
        <w:spacing w:after="0"/>
        <w:ind w:left="360"/>
        <w:rPr>
          <w:b/>
        </w:rPr>
      </w:pPr>
    </w:p>
    <w:p w14:paraId="76ACEA2E" w14:textId="77777777" w:rsidR="00561604" w:rsidRPr="00711FE8" w:rsidRDefault="00150158" w:rsidP="00A941EC">
      <w:pPr>
        <w:pStyle w:val="ListParagraph"/>
        <w:spacing w:after="0"/>
        <w:ind w:left="0"/>
      </w:pPr>
      <w:r w:rsidRPr="005F34A3">
        <w:t xml:space="preserve">The </w:t>
      </w:r>
      <w:r>
        <w:t>new data protection legislation</w:t>
      </w:r>
      <w:r w:rsidRPr="00AC7314">
        <w:t xml:space="preserve"> </w:t>
      </w:r>
      <w:r>
        <w:t xml:space="preserve">strengthens the requirements on data controllers to provide clear and concise </w:t>
      </w:r>
      <w:r w:rsidR="000D6A1B">
        <w:t xml:space="preserve">information </w:t>
      </w:r>
      <w:r w:rsidR="005D732A">
        <w:t>to</w:t>
      </w:r>
      <w:r w:rsidR="004250BD" w:rsidRPr="004250BD">
        <w:t xml:space="preserve"> patients about what data is collected and how it is processed </w:t>
      </w:r>
      <w:r>
        <w:t xml:space="preserve">by creating a legal duty of transparency as part of the </w:t>
      </w:r>
      <w:r w:rsidR="00AC2DC7">
        <w:t xml:space="preserve">requirement </w:t>
      </w:r>
      <w:r w:rsidR="00750018">
        <w:t xml:space="preserve">for </w:t>
      </w:r>
      <w:r>
        <w:t>fair and lawful processing of data.</w:t>
      </w:r>
      <w:r w:rsidRPr="00C3264F">
        <w:t xml:space="preserve"> </w:t>
      </w:r>
      <w:r>
        <w:t xml:space="preserve">The national data opt-out supports this </w:t>
      </w:r>
      <w:r w:rsidRPr="000F361B">
        <w:t xml:space="preserve">enhanced duty of transparency </w:t>
      </w:r>
      <w:r>
        <w:t xml:space="preserve">by providing access to materials and information that </w:t>
      </w:r>
      <w:r w:rsidR="0078631E">
        <w:t xml:space="preserve">will </w:t>
      </w:r>
      <w:r>
        <w:t>help</w:t>
      </w:r>
      <w:r w:rsidR="0078631E">
        <w:t xml:space="preserve"> your </w:t>
      </w:r>
      <w:r w:rsidR="00824B3B">
        <w:t xml:space="preserve">practice </w:t>
      </w:r>
      <w:r>
        <w:t xml:space="preserve">to </w:t>
      </w:r>
      <w:r w:rsidRPr="005F34A3">
        <w:t xml:space="preserve">explain to patients how their data </w:t>
      </w:r>
      <w:r>
        <w:t xml:space="preserve">is used across the health and care system and that they have a choice about how their confidential </w:t>
      </w:r>
      <w:r w:rsidR="00750018">
        <w:t xml:space="preserve">patient </w:t>
      </w:r>
      <w:r w:rsidRPr="00C02E0A">
        <w:t>information is used for research and planning purposes</w:t>
      </w:r>
      <w:r w:rsidR="00824B3B">
        <w:t>.</w:t>
      </w:r>
    </w:p>
    <w:p w14:paraId="62A0EF14" w14:textId="77777777" w:rsidR="00711FE8" w:rsidRDefault="00711FE8" w:rsidP="00392E15">
      <w:pPr>
        <w:pStyle w:val="ListParagraph"/>
        <w:spacing w:after="0"/>
        <w:ind w:left="360"/>
        <w:rPr>
          <w:b/>
        </w:rPr>
      </w:pPr>
    </w:p>
    <w:p w14:paraId="5300C295" w14:textId="77777777" w:rsidR="00711FE8" w:rsidRDefault="00392E15" w:rsidP="0042148E">
      <w:pPr>
        <w:pStyle w:val="ListParagraph"/>
        <w:numPr>
          <w:ilvl w:val="0"/>
          <w:numId w:val="11"/>
        </w:numPr>
        <w:spacing w:after="0"/>
        <w:rPr>
          <w:b/>
        </w:rPr>
      </w:pPr>
      <w:r>
        <w:rPr>
          <w:b/>
        </w:rPr>
        <w:t>Where can I f</w:t>
      </w:r>
      <w:r w:rsidR="005437AA">
        <w:rPr>
          <w:b/>
        </w:rPr>
        <w:t xml:space="preserve">ind more </w:t>
      </w:r>
      <w:r w:rsidR="00C256AD">
        <w:rPr>
          <w:b/>
        </w:rPr>
        <w:t>informat</w:t>
      </w:r>
      <w:r w:rsidR="00D04A99">
        <w:rPr>
          <w:b/>
        </w:rPr>
        <w:t>ion on GDPR/new data protection legislation</w:t>
      </w:r>
      <w:r w:rsidR="00EB1B10">
        <w:rPr>
          <w:b/>
        </w:rPr>
        <w:t>?</w:t>
      </w:r>
    </w:p>
    <w:p w14:paraId="5F35B2AE" w14:textId="77777777" w:rsidR="00764400" w:rsidRDefault="00764400" w:rsidP="00764400">
      <w:pPr>
        <w:pStyle w:val="ListParagraph"/>
        <w:spacing w:after="0"/>
        <w:ind w:left="360"/>
        <w:rPr>
          <w:b/>
        </w:rPr>
      </w:pPr>
    </w:p>
    <w:p w14:paraId="2A14B446" w14:textId="77777777" w:rsidR="005437AA" w:rsidRPr="005437AA" w:rsidRDefault="005437AA" w:rsidP="00A941EC">
      <w:pPr>
        <w:rPr>
          <w:rFonts w:cs="Arial"/>
        </w:rPr>
      </w:pPr>
      <w:r w:rsidRPr="005437AA">
        <w:rPr>
          <w:rFonts w:cs="Arial"/>
        </w:rPr>
        <w:t xml:space="preserve">Further information and guidance about GDPR for health and care organisations is provided by the Information Governance Alliance (IGA) and the Information Commissioner’s Office (ICO). </w:t>
      </w:r>
    </w:p>
    <w:p w14:paraId="7754ACF4" w14:textId="77777777" w:rsidR="005437AA" w:rsidRDefault="00980712" w:rsidP="00D04A99">
      <w:pPr>
        <w:ind w:left="284"/>
        <w:rPr>
          <w:rFonts w:cs="Arial"/>
        </w:rPr>
      </w:pPr>
      <w:hyperlink r:id="rId16" w:history="1">
        <w:r w:rsidR="005437AA" w:rsidRPr="00B35AD0">
          <w:rPr>
            <w:rStyle w:val="Hyperlink"/>
            <w:rFonts w:ascii="Arial" w:hAnsi="Arial" w:cs="Arial"/>
          </w:rPr>
          <w:t>https://digital.nhs.uk/information-governance-alliance/General-Data-Protection-Regulation-guidance</w:t>
        </w:r>
      </w:hyperlink>
    </w:p>
    <w:p w14:paraId="067C1071" w14:textId="77777777" w:rsidR="00764400" w:rsidRPr="00640221" w:rsidRDefault="00980712" w:rsidP="00D04A99">
      <w:pPr>
        <w:ind w:left="284"/>
        <w:rPr>
          <w:rFonts w:cs="Arial"/>
        </w:rPr>
      </w:pPr>
      <w:hyperlink r:id="rId17" w:history="1">
        <w:r w:rsidR="005437AA" w:rsidRPr="00B35AD0">
          <w:rPr>
            <w:rStyle w:val="Hyperlink"/>
            <w:rFonts w:ascii="Arial" w:hAnsi="Arial" w:cs="Arial"/>
          </w:rPr>
          <w:t>https://ico.org.uk/for-organisations/guide-to-the-general-data-protection-regulation-gdpr/</w:t>
        </w:r>
      </w:hyperlink>
    </w:p>
    <w:p w14:paraId="608F8602" w14:textId="77777777" w:rsidR="00CB1730" w:rsidRDefault="00CB1730" w:rsidP="00095505">
      <w:pPr>
        <w:spacing w:after="0"/>
      </w:pPr>
    </w:p>
    <w:p w14:paraId="7D14D516" w14:textId="77777777" w:rsidR="00CB1730" w:rsidRDefault="00CB1730" w:rsidP="00C62310">
      <w:pPr>
        <w:pStyle w:val="ListParagraph"/>
        <w:spacing w:after="0"/>
        <w:ind w:left="360"/>
      </w:pPr>
    </w:p>
    <w:p w14:paraId="233FAF72" w14:textId="77777777" w:rsidR="00F52F2A" w:rsidRPr="00150158" w:rsidRDefault="00017D99" w:rsidP="00150158">
      <w:pPr>
        <w:spacing w:after="0"/>
        <w:rPr>
          <w:b/>
        </w:rPr>
      </w:pPr>
      <w:r w:rsidRPr="00150158">
        <w:rPr>
          <w:b/>
        </w:rPr>
        <w:t xml:space="preserve"> </w:t>
      </w:r>
    </w:p>
    <w:sectPr w:rsidR="00F52F2A" w:rsidRPr="00150158" w:rsidSect="00443640">
      <w:headerReference w:type="default" r:id="rId18"/>
      <w:footerReference w:type="default" r:id="rId19"/>
      <w:headerReference w:type="first" r:id="rId20"/>
      <w:footerReference w:type="first" r:id="rId21"/>
      <w:pgSz w:w="11906" w:h="16838" w:code="9"/>
      <w:pgMar w:top="1959" w:right="1021" w:bottom="1021" w:left="1021" w:header="568" w:footer="62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2280" w14:textId="77777777" w:rsidR="00980712" w:rsidRDefault="00980712">
      <w:r>
        <w:separator/>
      </w:r>
    </w:p>
  </w:endnote>
  <w:endnote w:type="continuationSeparator" w:id="0">
    <w:p w14:paraId="718C700C" w14:textId="77777777" w:rsidR="00980712" w:rsidRDefault="0098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FrutigerLTStd-Ligh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E2DA4" w14:textId="77777777" w:rsidR="00443640" w:rsidRDefault="00443640">
    <w:pPr>
      <w:pStyle w:val="Footer"/>
    </w:pPr>
  </w:p>
  <w:p w14:paraId="0F79DC00" w14:textId="77777777" w:rsidR="00443640" w:rsidRDefault="00443640">
    <w:pPr>
      <w:pStyle w:val="Footer"/>
    </w:pPr>
  </w:p>
  <w:p w14:paraId="50F9A34C" w14:textId="77777777" w:rsidR="00443640" w:rsidRDefault="00443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47F1F" w14:textId="77777777" w:rsidR="00443640" w:rsidRDefault="00443640">
    <w:pPr>
      <w:pStyle w:val="Footer"/>
    </w:pPr>
  </w:p>
  <w:p w14:paraId="70DD852D" w14:textId="77777777" w:rsidR="00443640" w:rsidRDefault="00443640">
    <w:pPr>
      <w:pStyle w:val="Footer"/>
    </w:pPr>
  </w:p>
  <w:p w14:paraId="7D4B0309" w14:textId="77777777" w:rsidR="00443640" w:rsidRDefault="004436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5D60E1" w14:textId="77777777" w:rsidR="00980712" w:rsidRDefault="00980712">
      <w:r>
        <w:separator/>
      </w:r>
    </w:p>
  </w:footnote>
  <w:footnote w:type="continuationSeparator" w:id="0">
    <w:p w14:paraId="31EE7C9C" w14:textId="77777777" w:rsidR="00980712" w:rsidRDefault="009807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8D06B" w14:textId="77777777" w:rsidR="00A10AE5" w:rsidRDefault="00A10AE5" w:rsidP="00A10AE5">
    <w:pPr>
      <w:pStyle w:val="Header"/>
      <w:jc w:val="right"/>
    </w:pPr>
    <w:r>
      <w:rPr>
        <w:noProof/>
        <w:lang w:eastAsia="en-GB"/>
      </w:rPr>
      <w:drawing>
        <wp:inline distT="0" distB="0" distL="0" distR="0" wp14:anchorId="333C3F5D" wp14:editId="2957A715">
          <wp:extent cx="893064" cy="359664"/>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CEE17" w14:textId="77777777" w:rsidR="00A10AE5" w:rsidRDefault="00A10AE5" w:rsidP="00A10AE5">
    <w:pPr>
      <w:pStyle w:val="Header"/>
      <w:jc w:val="right"/>
    </w:pPr>
    <w:r>
      <w:rPr>
        <w:noProof/>
        <w:lang w:eastAsia="en-GB"/>
      </w:rPr>
      <w:drawing>
        <wp:inline distT="0" distB="0" distL="0" distR="0" wp14:anchorId="22B1915E" wp14:editId="11229A98">
          <wp:extent cx="893064" cy="359664"/>
          <wp:effectExtent l="0" t="0" r="254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HS 10mm - RGB Blue.jpg"/>
                  <pic:cNvPicPr/>
                </pic:nvPicPr>
                <pic:blipFill>
                  <a:blip r:embed="rId1">
                    <a:extLst>
                      <a:ext uri="{28A0092B-C50C-407E-A947-70E740481C1C}">
                        <a14:useLocalDpi xmlns:a14="http://schemas.microsoft.com/office/drawing/2010/main" val="0"/>
                      </a:ext>
                    </a:extLst>
                  </a:blip>
                  <a:stretch>
                    <a:fillRect/>
                  </a:stretch>
                </pic:blipFill>
                <pic:spPr>
                  <a:xfrm>
                    <a:off x="0" y="0"/>
                    <a:ext cx="893064" cy="35966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83234"/>
    <w:multiLevelType w:val="hybridMultilevel"/>
    <w:tmpl w:val="7246828A"/>
    <w:lvl w:ilvl="0" w:tplc="91CE2B00">
      <w:start w:val="1"/>
      <w:numFmt w:val="bullet"/>
      <w:pStyle w:val="Bullet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C23854"/>
    <w:multiLevelType w:val="hybridMultilevel"/>
    <w:tmpl w:val="509857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15F6E3A"/>
    <w:multiLevelType w:val="hybridMultilevel"/>
    <w:tmpl w:val="DE4A7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80370"/>
    <w:multiLevelType w:val="singleLevel"/>
    <w:tmpl w:val="39B2F2C2"/>
    <w:lvl w:ilvl="0">
      <w:start w:val="1"/>
      <w:numFmt w:val="decimal"/>
      <w:lvlText w:val="%1."/>
      <w:lvlJc w:val="left"/>
      <w:pPr>
        <w:tabs>
          <w:tab w:val="num" w:pos="540"/>
        </w:tabs>
        <w:ind w:left="540" w:hanging="540"/>
      </w:pPr>
      <w:rPr>
        <w:rFonts w:hint="default"/>
      </w:rPr>
    </w:lvl>
  </w:abstractNum>
  <w:abstractNum w:abstractNumId="4" w15:restartNumberingAfterBreak="0">
    <w:nsid w:val="49B577AB"/>
    <w:multiLevelType w:val="hybridMultilevel"/>
    <w:tmpl w:val="41BE9782"/>
    <w:lvl w:ilvl="0" w:tplc="05F04AB4">
      <w:start w:val="25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F903D64"/>
    <w:multiLevelType w:val="hybridMultilevel"/>
    <w:tmpl w:val="D6E46E54"/>
    <w:lvl w:ilvl="0" w:tplc="F7D8B0FA">
      <w:start w:val="1"/>
      <w:numFmt w:val="bullet"/>
      <w:lvlText w:val=""/>
      <w:lvlJc w:val="left"/>
      <w:pPr>
        <w:ind w:left="1280" w:hanging="360"/>
      </w:pPr>
      <w:rPr>
        <w:rFonts w:ascii="Symbol" w:hAnsi="Symbol"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6" w15:restartNumberingAfterBreak="0">
    <w:nsid w:val="722E1A90"/>
    <w:multiLevelType w:val="hybridMultilevel"/>
    <w:tmpl w:val="F15E53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48017E6"/>
    <w:multiLevelType w:val="hybridMultilevel"/>
    <w:tmpl w:val="0888AB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C870E6F"/>
    <w:multiLevelType w:val="singleLevel"/>
    <w:tmpl w:val="08090017"/>
    <w:lvl w:ilvl="0">
      <w:start w:val="1"/>
      <w:numFmt w:val="lowerLetter"/>
      <w:lvlText w:val="%1)"/>
      <w:lvlJc w:val="left"/>
      <w:pPr>
        <w:tabs>
          <w:tab w:val="num" w:pos="360"/>
        </w:tabs>
        <w:ind w:left="360" w:hanging="360"/>
      </w:pPr>
      <w:rPr>
        <w:rFonts w:hint="default"/>
      </w:rPr>
    </w:lvl>
  </w:abstractNum>
  <w:abstractNum w:abstractNumId="9" w15:restartNumberingAfterBreak="0">
    <w:nsid w:val="7DA8785E"/>
    <w:multiLevelType w:val="hybridMultilevel"/>
    <w:tmpl w:val="F9DCF262"/>
    <w:lvl w:ilvl="0" w:tplc="05F04AB4">
      <w:start w:val="250"/>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F4F4C5E"/>
    <w:multiLevelType w:val="hybridMultilevel"/>
    <w:tmpl w:val="072C9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9"/>
  </w:num>
  <w:num w:numId="4">
    <w:abstractNumId w:val="4"/>
  </w:num>
  <w:num w:numId="5">
    <w:abstractNumId w:val="10"/>
  </w:num>
  <w:num w:numId="6">
    <w:abstractNumId w:val="7"/>
  </w:num>
  <w:num w:numId="7">
    <w:abstractNumId w:val="5"/>
  </w:num>
  <w:num w:numId="8">
    <w:abstractNumId w:val="1"/>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template nh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C1052B"/>
    <w:rsid w:val="00007041"/>
    <w:rsid w:val="00011400"/>
    <w:rsid w:val="00017D99"/>
    <w:rsid w:val="000350A5"/>
    <w:rsid w:val="00035865"/>
    <w:rsid w:val="000360F3"/>
    <w:rsid w:val="000401F4"/>
    <w:rsid w:val="00040DC9"/>
    <w:rsid w:val="000450CA"/>
    <w:rsid w:val="00050DDD"/>
    <w:rsid w:val="00051860"/>
    <w:rsid w:val="00053ADE"/>
    <w:rsid w:val="00066680"/>
    <w:rsid w:val="00067F7C"/>
    <w:rsid w:val="000846FE"/>
    <w:rsid w:val="00090B1D"/>
    <w:rsid w:val="00094D4F"/>
    <w:rsid w:val="00095505"/>
    <w:rsid w:val="000B1763"/>
    <w:rsid w:val="000B4641"/>
    <w:rsid w:val="000D600E"/>
    <w:rsid w:val="000D6A1B"/>
    <w:rsid w:val="000E77B7"/>
    <w:rsid w:val="000F282C"/>
    <w:rsid w:val="000F2D99"/>
    <w:rsid w:val="000F361B"/>
    <w:rsid w:val="000F5418"/>
    <w:rsid w:val="00106073"/>
    <w:rsid w:val="0010719B"/>
    <w:rsid w:val="00111FE0"/>
    <w:rsid w:val="00114DE0"/>
    <w:rsid w:val="001339BE"/>
    <w:rsid w:val="001402C3"/>
    <w:rsid w:val="001449BA"/>
    <w:rsid w:val="00150158"/>
    <w:rsid w:val="00171F78"/>
    <w:rsid w:val="0017587B"/>
    <w:rsid w:val="00180B33"/>
    <w:rsid w:val="0019035D"/>
    <w:rsid w:val="0019794F"/>
    <w:rsid w:val="001A5C2F"/>
    <w:rsid w:val="001A66F1"/>
    <w:rsid w:val="001B3677"/>
    <w:rsid w:val="001B45D2"/>
    <w:rsid w:val="001D7C2A"/>
    <w:rsid w:val="001F362B"/>
    <w:rsid w:val="00203604"/>
    <w:rsid w:val="0020452E"/>
    <w:rsid w:val="002315DD"/>
    <w:rsid w:val="00236647"/>
    <w:rsid w:val="002421F3"/>
    <w:rsid w:val="00242583"/>
    <w:rsid w:val="00253046"/>
    <w:rsid w:val="002631EF"/>
    <w:rsid w:val="00265BF8"/>
    <w:rsid w:val="00267305"/>
    <w:rsid w:val="00273A2D"/>
    <w:rsid w:val="002746CA"/>
    <w:rsid w:val="00283588"/>
    <w:rsid w:val="00293053"/>
    <w:rsid w:val="00295A47"/>
    <w:rsid w:val="002A122D"/>
    <w:rsid w:val="002A3DA7"/>
    <w:rsid w:val="002A450F"/>
    <w:rsid w:val="002A6641"/>
    <w:rsid w:val="002B06F0"/>
    <w:rsid w:val="002C09B9"/>
    <w:rsid w:val="002C20E3"/>
    <w:rsid w:val="002C61DB"/>
    <w:rsid w:val="002C7F04"/>
    <w:rsid w:val="002E531C"/>
    <w:rsid w:val="002F0E65"/>
    <w:rsid w:val="00305BA1"/>
    <w:rsid w:val="00314566"/>
    <w:rsid w:val="0033022A"/>
    <w:rsid w:val="00336689"/>
    <w:rsid w:val="003544AE"/>
    <w:rsid w:val="003564EA"/>
    <w:rsid w:val="003662D0"/>
    <w:rsid w:val="00392E15"/>
    <w:rsid w:val="003A1919"/>
    <w:rsid w:val="003B1FBB"/>
    <w:rsid w:val="003B2DD8"/>
    <w:rsid w:val="003B4EF6"/>
    <w:rsid w:val="003D499B"/>
    <w:rsid w:val="003E6A77"/>
    <w:rsid w:val="003F533B"/>
    <w:rsid w:val="00400717"/>
    <w:rsid w:val="00402AAD"/>
    <w:rsid w:val="004207C3"/>
    <w:rsid w:val="0042148E"/>
    <w:rsid w:val="004250BD"/>
    <w:rsid w:val="004275EB"/>
    <w:rsid w:val="00436AD0"/>
    <w:rsid w:val="00437E70"/>
    <w:rsid w:val="00443640"/>
    <w:rsid w:val="004443F8"/>
    <w:rsid w:val="004466B2"/>
    <w:rsid w:val="00466CEC"/>
    <w:rsid w:val="00467936"/>
    <w:rsid w:val="004750E3"/>
    <w:rsid w:val="00480203"/>
    <w:rsid w:val="004A3215"/>
    <w:rsid w:val="004A549E"/>
    <w:rsid w:val="004B320D"/>
    <w:rsid w:val="004B5346"/>
    <w:rsid w:val="004B6D98"/>
    <w:rsid w:val="004F3437"/>
    <w:rsid w:val="004F5DB8"/>
    <w:rsid w:val="00504D6A"/>
    <w:rsid w:val="00531FCA"/>
    <w:rsid w:val="005437AA"/>
    <w:rsid w:val="00552CF1"/>
    <w:rsid w:val="00553A18"/>
    <w:rsid w:val="00555B3D"/>
    <w:rsid w:val="00557C7D"/>
    <w:rsid w:val="0056017B"/>
    <w:rsid w:val="00561161"/>
    <w:rsid w:val="00561604"/>
    <w:rsid w:val="0057176F"/>
    <w:rsid w:val="005812AF"/>
    <w:rsid w:val="00593CDE"/>
    <w:rsid w:val="005A5BDA"/>
    <w:rsid w:val="005A7557"/>
    <w:rsid w:val="005C3F1A"/>
    <w:rsid w:val="005D2D95"/>
    <w:rsid w:val="005D732A"/>
    <w:rsid w:val="005E0AF5"/>
    <w:rsid w:val="005E4891"/>
    <w:rsid w:val="005F20E6"/>
    <w:rsid w:val="005F34A3"/>
    <w:rsid w:val="0061194F"/>
    <w:rsid w:val="00612466"/>
    <w:rsid w:val="00613CA5"/>
    <w:rsid w:val="0062504D"/>
    <w:rsid w:val="00625483"/>
    <w:rsid w:val="00626935"/>
    <w:rsid w:val="006346C2"/>
    <w:rsid w:val="00640221"/>
    <w:rsid w:val="006521B6"/>
    <w:rsid w:val="006545EE"/>
    <w:rsid w:val="00671FA4"/>
    <w:rsid w:val="006750F3"/>
    <w:rsid w:val="006757C4"/>
    <w:rsid w:val="00681A72"/>
    <w:rsid w:val="00682C2C"/>
    <w:rsid w:val="0069465F"/>
    <w:rsid w:val="00697768"/>
    <w:rsid w:val="006A41F2"/>
    <w:rsid w:val="006B6EE0"/>
    <w:rsid w:val="006C00CF"/>
    <w:rsid w:val="006D1DAF"/>
    <w:rsid w:val="006D555F"/>
    <w:rsid w:val="006D645C"/>
    <w:rsid w:val="006D71BF"/>
    <w:rsid w:val="006E1122"/>
    <w:rsid w:val="006E1410"/>
    <w:rsid w:val="006E765C"/>
    <w:rsid w:val="007029A5"/>
    <w:rsid w:val="00710513"/>
    <w:rsid w:val="00711FE8"/>
    <w:rsid w:val="007209E8"/>
    <w:rsid w:val="007403F7"/>
    <w:rsid w:val="00744612"/>
    <w:rsid w:val="00750018"/>
    <w:rsid w:val="00753469"/>
    <w:rsid w:val="0076199C"/>
    <w:rsid w:val="00764400"/>
    <w:rsid w:val="007701C1"/>
    <w:rsid w:val="0078631E"/>
    <w:rsid w:val="00791CA8"/>
    <w:rsid w:val="00792EFA"/>
    <w:rsid w:val="00795BAB"/>
    <w:rsid w:val="007A409E"/>
    <w:rsid w:val="007C0543"/>
    <w:rsid w:val="007C52E5"/>
    <w:rsid w:val="007D129A"/>
    <w:rsid w:val="007E5F27"/>
    <w:rsid w:val="007F4190"/>
    <w:rsid w:val="00824B3B"/>
    <w:rsid w:val="00824D22"/>
    <w:rsid w:val="008257D4"/>
    <w:rsid w:val="00832ADE"/>
    <w:rsid w:val="00837386"/>
    <w:rsid w:val="008545D0"/>
    <w:rsid w:val="00880A7E"/>
    <w:rsid w:val="008958A2"/>
    <w:rsid w:val="008C235E"/>
    <w:rsid w:val="008C29C6"/>
    <w:rsid w:val="008C30E0"/>
    <w:rsid w:val="008D50D2"/>
    <w:rsid w:val="008D6382"/>
    <w:rsid w:val="008E1C17"/>
    <w:rsid w:val="008F05C2"/>
    <w:rsid w:val="008F2209"/>
    <w:rsid w:val="008F564D"/>
    <w:rsid w:val="008F79B4"/>
    <w:rsid w:val="00943F4B"/>
    <w:rsid w:val="00951B40"/>
    <w:rsid w:val="00980712"/>
    <w:rsid w:val="00984CD6"/>
    <w:rsid w:val="00990963"/>
    <w:rsid w:val="00990A88"/>
    <w:rsid w:val="00992EAB"/>
    <w:rsid w:val="00993E42"/>
    <w:rsid w:val="00997674"/>
    <w:rsid w:val="009B3528"/>
    <w:rsid w:val="009C6063"/>
    <w:rsid w:val="009D0554"/>
    <w:rsid w:val="009F0FB7"/>
    <w:rsid w:val="009F6FAF"/>
    <w:rsid w:val="00A10AE5"/>
    <w:rsid w:val="00A33D2F"/>
    <w:rsid w:val="00A414CA"/>
    <w:rsid w:val="00A43C5A"/>
    <w:rsid w:val="00A44B60"/>
    <w:rsid w:val="00A55E3D"/>
    <w:rsid w:val="00A75D80"/>
    <w:rsid w:val="00A7624B"/>
    <w:rsid w:val="00A81A2F"/>
    <w:rsid w:val="00A902F0"/>
    <w:rsid w:val="00A917D7"/>
    <w:rsid w:val="00A941EC"/>
    <w:rsid w:val="00A95E1A"/>
    <w:rsid w:val="00AA4548"/>
    <w:rsid w:val="00AB4EFF"/>
    <w:rsid w:val="00AC2DC7"/>
    <w:rsid w:val="00AC7314"/>
    <w:rsid w:val="00AD07AD"/>
    <w:rsid w:val="00AD47DF"/>
    <w:rsid w:val="00AE3803"/>
    <w:rsid w:val="00AF1951"/>
    <w:rsid w:val="00AF7915"/>
    <w:rsid w:val="00B13FA0"/>
    <w:rsid w:val="00B1693D"/>
    <w:rsid w:val="00B2795E"/>
    <w:rsid w:val="00B4603D"/>
    <w:rsid w:val="00B55983"/>
    <w:rsid w:val="00B60B67"/>
    <w:rsid w:val="00B70B7B"/>
    <w:rsid w:val="00B7578B"/>
    <w:rsid w:val="00B916D3"/>
    <w:rsid w:val="00B9315C"/>
    <w:rsid w:val="00BB5A97"/>
    <w:rsid w:val="00BC765A"/>
    <w:rsid w:val="00BD39E7"/>
    <w:rsid w:val="00BF008E"/>
    <w:rsid w:val="00BF13E2"/>
    <w:rsid w:val="00BF2D32"/>
    <w:rsid w:val="00BF3FA7"/>
    <w:rsid w:val="00C00F11"/>
    <w:rsid w:val="00C02E0A"/>
    <w:rsid w:val="00C10431"/>
    <w:rsid w:val="00C1052B"/>
    <w:rsid w:val="00C256AD"/>
    <w:rsid w:val="00C3264F"/>
    <w:rsid w:val="00C3500E"/>
    <w:rsid w:val="00C50314"/>
    <w:rsid w:val="00C62310"/>
    <w:rsid w:val="00C67F50"/>
    <w:rsid w:val="00C837A7"/>
    <w:rsid w:val="00C84A73"/>
    <w:rsid w:val="00C84DDD"/>
    <w:rsid w:val="00C940A9"/>
    <w:rsid w:val="00C9695C"/>
    <w:rsid w:val="00CA1B4A"/>
    <w:rsid w:val="00CA3BC5"/>
    <w:rsid w:val="00CB1730"/>
    <w:rsid w:val="00CC1D22"/>
    <w:rsid w:val="00CC4BE0"/>
    <w:rsid w:val="00CC732B"/>
    <w:rsid w:val="00CD3952"/>
    <w:rsid w:val="00CE57BB"/>
    <w:rsid w:val="00CF173A"/>
    <w:rsid w:val="00CF6B74"/>
    <w:rsid w:val="00D03514"/>
    <w:rsid w:val="00D0467B"/>
    <w:rsid w:val="00D04A99"/>
    <w:rsid w:val="00D04B56"/>
    <w:rsid w:val="00D0533F"/>
    <w:rsid w:val="00D12512"/>
    <w:rsid w:val="00D13BD1"/>
    <w:rsid w:val="00D177DF"/>
    <w:rsid w:val="00D235AA"/>
    <w:rsid w:val="00D253CA"/>
    <w:rsid w:val="00D41423"/>
    <w:rsid w:val="00D63C20"/>
    <w:rsid w:val="00D65621"/>
    <w:rsid w:val="00D84BBF"/>
    <w:rsid w:val="00DA51E7"/>
    <w:rsid w:val="00DA535E"/>
    <w:rsid w:val="00DB2876"/>
    <w:rsid w:val="00DD6E68"/>
    <w:rsid w:val="00DF6CE7"/>
    <w:rsid w:val="00DF730A"/>
    <w:rsid w:val="00E00035"/>
    <w:rsid w:val="00E0368A"/>
    <w:rsid w:val="00E11336"/>
    <w:rsid w:val="00E12807"/>
    <w:rsid w:val="00E31421"/>
    <w:rsid w:val="00E3562D"/>
    <w:rsid w:val="00E37D5A"/>
    <w:rsid w:val="00E40985"/>
    <w:rsid w:val="00E40D75"/>
    <w:rsid w:val="00E65158"/>
    <w:rsid w:val="00E81E94"/>
    <w:rsid w:val="00E943F4"/>
    <w:rsid w:val="00E94553"/>
    <w:rsid w:val="00E954E7"/>
    <w:rsid w:val="00EA0BD5"/>
    <w:rsid w:val="00EA2B7F"/>
    <w:rsid w:val="00EB1B10"/>
    <w:rsid w:val="00EB4137"/>
    <w:rsid w:val="00EC6483"/>
    <w:rsid w:val="00ED3D68"/>
    <w:rsid w:val="00EF1DE5"/>
    <w:rsid w:val="00EF53B1"/>
    <w:rsid w:val="00F17C6D"/>
    <w:rsid w:val="00F37D0D"/>
    <w:rsid w:val="00F424F1"/>
    <w:rsid w:val="00F4412C"/>
    <w:rsid w:val="00F455C7"/>
    <w:rsid w:val="00F52F2A"/>
    <w:rsid w:val="00F57FC9"/>
    <w:rsid w:val="00F63091"/>
    <w:rsid w:val="00F90C15"/>
    <w:rsid w:val="00F95DAC"/>
    <w:rsid w:val="00F973D6"/>
    <w:rsid w:val="00FA0441"/>
    <w:rsid w:val="00FA34B7"/>
    <w:rsid w:val="00FB50B8"/>
    <w:rsid w:val="00FE471B"/>
    <w:rsid w:val="00FE5250"/>
    <w:rsid w:val="00FE751E"/>
    <w:rsid w:val="00FF12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E5C05"/>
  <w15:docId w15:val="{D487676B-6FD6-446E-A81E-CA405C4CB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37E70"/>
    <w:pPr>
      <w:spacing w:after="120"/>
      <w:textboxTightWrap w:val="lastLineOnly"/>
    </w:pPr>
    <w:rPr>
      <w:rFonts w:ascii="Arial" w:hAnsi="Arial"/>
      <w:color w:val="0F0F0F" w:themeColor="text1"/>
      <w:sz w:val="24"/>
      <w:szCs w:val="24"/>
      <w:lang w:eastAsia="en-US"/>
    </w:rPr>
  </w:style>
  <w:style w:type="paragraph" w:styleId="Heading1">
    <w:name w:val="heading 1"/>
    <w:next w:val="Normal"/>
    <w:link w:val="Heading1Char"/>
    <w:qFormat/>
    <w:rsid w:val="00C1052B"/>
    <w:pPr>
      <w:keepNext/>
      <w:spacing w:after="180"/>
      <w:outlineLvl w:val="0"/>
    </w:pPr>
    <w:rPr>
      <w:rFonts w:ascii="Arial" w:hAnsi="Arial" w:cs="Arial"/>
      <w:b/>
      <w:bCs/>
      <w:color w:val="005EB8" w:themeColor="accent1"/>
      <w:spacing w:val="-14"/>
      <w:kern w:val="28"/>
      <w:sz w:val="42"/>
      <w:szCs w:val="32"/>
      <w:lang w:eastAsia="en-US"/>
      <w14:ligatures w14:val="standardContextual"/>
    </w:rPr>
  </w:style>
  <w:style w:type="paragraph" w:styleId="Heading2">
    <w:name w:val="heading 2"/>
    <w:next w:val="Normal"/>
    <w:link w:val="Heading2Char"/>
    <w:autoRedefine/>
    <w:qFormat/>
    <w:rsid w:val="00C1052B"/>
    <w:pPr>
      <w:keepNext/>
      <w:spacing w:before="60" w:after="120"/>
      <w:outlineLvl w:val="1"/>
    </w:pPr>
    <w:rPr>
      <w:rFonts w:ascii="Arial" w:eastAsia="MS Mincho" w:hAnsi="Arial"/>
      <w:b/>
      <w:color w:val="005EB8" w:themeColor="accent1"/>
      <w:spacing w:val="-6"/>
      <w:kern w:val="28"/>
      <w:sz w:val="36"/>
      <w:szCs w:val="28"/>
      <w:lang w:eastAsia="en-US"/>
      <w14:ligatures w14:val="standardContextual"/>
    </w:rPr>
  </w:style>
  <w:style w:type="paragraph" w:styleId="Heading3">
    <w:name w:val="heading 3"/>
    <w:basedOn w:val="Heading2"/>
    <w:next w:val="Normal"/>
    <w:link w:val="Heading3Char"/>
    <w:autoRedefine/>
    <w:qFormat/>
    <w:rsid w:val="00C1052B"/>
    <w:pPr>
      <w:outlineLvl w:val="2"/>
    </w:pPr>
    <w:rPr>
      <w:rFonts w:cs="Arial"/>
      <w:bCs/>
      <w:sz w:val="30"/>
      <w:szCs w:val="26"/>
    </w:rPr>
  </w:style>
  <w:style w:type="paragraph" w:styleId="Heading4">
    <w:name w:val="heading 4"/>
    <w:basedOn w:val="Normal"/>
    <w:next w:val="Normal"/>
    <w:link w:val="Heading4Char"/>
    <w:qFormat/>
    <w:rsid w:val="00C1052B"/>
    <w:pPr>
      <w:keepNext/>
      <w:spacing w:before="60" w:after="60"/>
      <w:outlineLvl w:val="3"/>
    </w:pPr>
    <w:rPr>
      <w:b/>
      <w:color w:val="005EB8" w:themeColor="accent1"/>
      <w:szCs w:val="20"/>
    </w:rPr>
  </w:style>
  <w:style w:type="paragraph" w:styleId="Heading5">
    <w:name w:val="heading 5"/>
    <w:basedOn w:val="Normal"/>
    <w:next w:val="Normal"/>
    <w:pPr>
      <w:keepNext/>
      <w:jc w:val="both"/>
      <w:outlineLvl w:val="4"/>
    </w:pPr>
    <w:rPr>
      <w:b/>
      <w:i/>
      <w:sz w:val="22"/>
    </w:rPr>
  </w:style>
  <w:style w:type="paragraph" w:styleId="Heading6">
    <w:name w:val="heading 6"/>
    <w:basedOn w:val="Normal"/>
    <w:next w:val="Normal"/>
    <w:qFormat/>
    <w:pPr>
      <w:keepNext/>
      <w:tabs>
        <w:tab w:val="left" w:pos="7200"/>
        <w:tab w:val="right" w:pos="9180"/>
      </w:tabs>
      <w:outlineLvl w:val="5"/>
    </w:pPr>
    <w:rPr>
      <w:b/>
      <w:sz w:val="20"/>
    </w:rPr>
  </w:style>
  <w:style w:type="paragraph" w:styleId="Heading7">
    <w:name w:val="heading 7"/>
    <w:basedOn w:val="Normal"/>
    <w:next w:val="Normal"/>
    <w:qFormat/>
    <w:pPr>
      <w:keepNext/>
      <w:tabs>
        <w:tab w:val="right" w:pos="9072"/>
      </w:tabs>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ListParagraph"/>
    <w:link w:val="NumberedlistChar"/>
    <w:qFormat/>
    <w:rsid w:val="00C1052B"/>
    <w:pPr>
      <w:ind w:left="510" w:hanging="510"/>
      <w:contextualSpacing w:val="0"/>
    </w:pPr>
  </w:style>
  <w:style w:type="paragraph" w:customStyle="1" w:styleId="Bulletlist">
    <w:name w:val="Bullet list"/>
    <w:basedOn w:val="ListParagraph"/>
    <w:link w:val="BulletlistChar"/>
    <w:autoRedefine/>
    <w:qFormat/>
    <w:rsid w:val="00C1052B"/>
    <w:pPr>
      <w:numPr>
        <w:numId w:val="10"/>
      </w:numPr>
      <w:autoSpaceDE w:val="0"/>
      <w:autoSpaceDN w:val="0"/>
      <w:adjustRightInd w:val="0"/>
      <w:contextualSpacing w:val="0"/>
    </w:pPr>
    <w:rPr>
      <w:rFonts w:cs="FrutigerLTStd-Light"/>
    </w:rPr>
  </w:style>
  <w:style w:type="character" w:customStyle="1" w:styleId="NumberedlistChar">
    <w:name w:val="Numbered list Char"/>
    <w:basedOn w:val="DefaultParagraphFont"/>
    <w:link w:val="Numberedlist"/>
    <w:rsid w:val="00C1052B"/>
    <w:rPr>
      <w:rFonts w:ascii="Arial" w:hAnsi="Arial"/>
      <w:color w:val="0F0F0F" w:themeColor="text1"/>
      <w:sz w:val="24"/>
      <w:szCs w:val="24"/>
      <w:lang w:eastAsia="en-US"/>
    </w:rPr>
  </w:style>
  <w:style w:type="character" w:styleId="Hyperlink">
    <w:name w:val="Hyperlink"/>
    <w:basedOn w:val="DefaultParagraphFont"/>
    <w:uiPriority w:val="99"/>
    <w:unhideWhenUsed/>
    <w:qFormat/>
    <w:rsid w:val="00C1052B"/>
    <w:rPr>
      <w:rFonts w:asciiTheme="minorHAnsi" w:hAnsiTheme="minorHAnsi"/>
      <w:color w:val="003087" w:themeColor="accent3"/>
      <w:u w:val="none"/>
    </w:rPr>
  </w:style>
  <w:style w:type="character" w:customStyle="1" w:styleId="BulletlistChar">
    <w:name w:val="Bullet list Char"/>
    <w:basedOn w:val="DefaultParagraphFont"/>
    <w:link w:val="Bulletlist"/>
    <w:rsid w:val="00C1052B"/>
    <w:rPr>
      <w:rFonts w:ascii="Arial" w:hAnsi="Arial" w:cs="FrutigerLTStd-Light"/>
      <w:color w:val="0F0F0F" w:themeColor="text1"/>
      <w:sz w:val="24"/>
      <w:szCs w:val="24"/>
      <w:lang w:eastAsia="en-US"/>
    </w:rPr>
  </w:style>
  <w:style w:type="paragraph" w:styleId="Header">
    <w:name w:val="header"/>
    <w:basedOn w:val="Normal"/>
    <w:rsid w:val="00F95DAC"/>
    <w:pPr>
      <w:tabs>
        <w:tab w:val="center" w:pos="4153"/>
        <w:tab w:val="right" w:pos="8306"/>
      </w:tabs>
    </w:pPr>
  </w:style>
  <w:style w:type="paragraph" w:styleId="Footer">
    <w:name w:val="footer"/>
    <w:basedOn w:val="Normal"/>
    <w:rsid w:val="00F95DAC"/>
    <w:pPr>
      <w:tabs>
        <w:tab w:val="center" w:pos="4153"/>
        <w:tab w:val="right" w:pos="8306"/>
      </w:tabs>
    </w:pPr>
  </w:style>
  <w:style w:type="paragraph" w:styleId="ListParagraph">
    <w:name w:val="List Paragraph"/>
    <w:basedOn w:val="Normal"/>
    <w:uiPriority w:val="34"/>
    <w:qFormat/>
    <w:rsid w:val="00C1052B"/>
    <w:pPr>
      <w:spacing w:after="140"/>
      <w:ind w:left="720"/>
      <w:contextualSpacing/>
    </w:pPr>
  </w:style>
  <w:style w:type="character" w:customStyle="1" w:styleId="Heading1Char">
    <w:name w:val="Heading 1 Char"/>
    <w:basedOn w:val="DefaultParagraphFont"/>
    <w:link w:val="Heading1"/>
    <w:rsid w:val="00C1052B"/>
    <w:rPr>
      <w:rFonts w:ascii="Arial" w:hAnsi="Arial" w:cs="Arial"/>
      <w:b/>
      <w:bCs/>
      <w:color w:val="005EB8" w:themeColor="accent1"/>
      <w:spacing w:val="-14"/>
      <w:kern w:val="28"/>
      <w:sz w:val="42"/>
      <w:szCs w:val="32"/>
      <w:lang w:eastAsia="en-US"/>
      <w14:ligatures w14:val="standardContextual"/>
    </w:rPr>
  </w:style>
  <w:style w:type="character" w:customStyle="1" w:styleId="Heading2Char">
    <w:name w:val="Heading 2 Char"/>
    <w:basedOn w:val="DefaultParagraphFont"/>
    <w:link w:val="Heading2"/>
    <w:rsid w:val="00C1052B"/>
    <w:rPr>
      <w:rFonts w:ascii="Arial" w:eastAsia="MS Mincho" w:hAnsi="Arial"/>
      <w:b/>
      <w:color w:val="005EB8" w:themeColor="accent1"/>
      <w:spacing w:val="-6"/>
      <w:kern w:val="28"/>
      <w:sz w:val="36"/>
      <w:szCs w:val="28"/>
      <w:lang w:eastAsia="en-US"/>
      <w14:ligatures w14:val="standardContextual"/>
    </w:rPr>
  </w:style>
  <w:style w:type="character" w:customStyle="1" w:styleId="Heading3Char">
    <w:name w:val="Heading 3 Char"/>
    <w:basedOn w:val="DefaultParagraphFont"/>
    <w:link w:val="Heading3"/>
    <w:rsid w:val="00C1052B"/>
    <w:rPr>
      <w:rFonts w:ascii="Arial" w:eastAsia="MS Mincho" w:hAnsi="Arial" w:cs="Arial"/>
      <w:b/>
      <w:bCs/>
      <w:color w:val="005EB8" w:themeColor="accent1"/>
      <w:spacing w:val="-6"/>
      <w:kern w:val="28"/>
      <w:sz w:val="30"/>
      <w:szCs w:val="26"/>
      <w:lang w:eastAsia="en-US"/>
      <w14:ligatures w14:val="standardContextual"/>
    </w:rPr>
  </w:style>
  <w:style w:type="character" w:customStyle="1" w:styleId="Heading4Char">
    <w:name w:val="Heading 4 Char"/>
    <w:basedOn w:val="DefaultParagraphFont"/>
    <w:link w:val="Heading4"/>
    <w:rsid w:val="00C1052B"/>
    <w:rPr>
      <w:rFonts w:ascii="Arial" w:hAnsi="Arial"/>
      <w:b/>
      <w:color w:val="005EB8" w:themeColor="accent1"/>
      <w:sz w:val="24"/>
      <w:lang w:eastAsia="en-US"/>
    </w:rPr>
  </w:style>
  <w:style w:type="character" w:styleId="UnresolvedMention">
    <w:name w:val="Unresolved Mention"/>
    <w:basedOn w:val="DefaultParagraphFont"/>
    <w:uiPriority w:val="99"/>
    <w:semiHidden/>
    <w:unhideWhenUsed/>
    <w:rsid w:val="00CE57BB"/>
    <w:rPr>
      <w:color w:val="808080"/>
      <w:shd w:val="clear" w:color="auto" w:fill="E6E6E6"/>
    </w:rPr>
  </w:style>
  <w:style w:type="paragraph" w:styleId="BalloonText">
    <w:name w:val="Balloon Text"/>
    <w:basedOn w:val="Normal"/>
    <w:link w:val="BalloonTextChar"/>
    <w:rsid w:val="006C00CF"/>
    <w:pPr>
      <w:spacing w:after="0"/>
    </w:pPr>
    <w:rPr>
      <w:rFonts w:ascii="Segoe UI" w:hAnsi="Segoe UI" w:cs="Segoe UI"/>
      <w:sz w:val="18"/>
      <w:szCs w:val="18"/>
    </w:rPr>
  </w:style>
  <w:style w:type="character" w:customStyle="1" w:styleId="BalloonTextChar">
    <w:name w:val="Balloon Text Char"/>
    <w:basedOn w:val="DefaultParagraphFont"/>
    <w:link w:val="BalloonText"/>
    <w:rsid w:val="006C00CF"/>
    <w:rPr>
      <w:rFonts w:ascii="Segoe UI" w:hAnsi="Segoe UI" w:cs="Segoe UI"/>
      <w:color w:val="0F0F0F" w:themeColor="text1"/>
      <w:sz w:val="18"/>
      <w:szCs w:val="18"/>
      <w:lang w:eastAsia="en-US"/>
    </w:rPr>
  </w:style>
  <w:style w:type="character" w:styleId="CommentReference">
    <w:name w:val="annotation reference"/>
    <w:basedOn w:val="DefaultParagraphFont"/>
    <w:semiHidden/>
    <w:unhideWhenUsed/>
    <w:rsid w:val="00094D4F"/>
    <w:rPr>
      <w:sz w:val="16"/>
      <w:szCs w:val="16"/>
    </w:rPr>
  </w:style>
  <w:style w:type="paragraph" w:styleId="CommentText">
    <w:name w:val="annotation text"/>
    <w:basedOn w:val="Normal"/>
    <w:link w:val="CommentTextChar"/>
    <w:semiHidden/>
    <w:unhideWhenUsed/>
    <w:rsid w:val="00094D4F"/>
    <w:rPr>
      <w:sz w:val="20"/>
      <w:szCs w:val="20"/>
    </w:rPr>
  </w:style>
  <w:style w:type="character" w:customStyle="1" w:styleId="CommentTextChar">
    <w:name w:val="Comment Text Char"/>
    <w:basedOn w:val="DefaultParagraphFont"/>
    <w:link w:val="CommentText"/>
    <w:semiHidden/>
    <w:rsid w:val="00094D4F"/>
    <w:rPr>
      <w:rFonts w:ascii="Arial" w:hAnsi="Arial"/>
      <w:color w:val="0F0F0F" w:themeColor="text1"/>
      <w:lang w:eastAsia="en-US"/>
    </w:rPr>
  </w:style>
  <w:style w:type="paragraph" w:styleId="CommentSubject">
    <w:name w:val="annotation subject"/>
    <w:basedOn w:val="CommentText"/>
    <w:next w:val="CommentText"/>
    <w:link w:val="CommentSubjectChar"/>
    <w:semiHidden/>
    <w:unhideWhenUsed/>
    <w:rsid w:val="00094D4F"/>
    <w:rPr>
      <w:b/>
      <w:bCs/>
    </w:rPr>
  </w:style>
  <w:style w:type="character" w:customStyle="1" w:styleId="CommentSubjectChar">
    <w:name w:val="Comment Subject Char"/>
    <w:basedOn w:val="CommentTextChar"/>
    <w:link w:val="CommentSubject"/>
    <w:semiHidden/>
    <w:rsid w:val="00094D4F"/>
    <w:rPr>
      <w:rFonts w:ascii="Arial" w:hAnsi="Arial"/>
      <w:b/>
      <w:bCs/>
      <w:color w:val="0F0F0F" w:themeColor="tex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495964">
      <w:bodyDiv w:val="1"/>
      <w:marLeft w:val="0"/>
      <w:marRight w:val="0"/>
      <w:marTop w:val="0"/>
      <w:marBottom w:val="0"/>
      <w:divBdr>
        <w:top w:val="none" w:sz="0" w:space="0" w:color="auto"/>
        <w:left w:val="none" w:sz="0" w:space="0" w:color="auto"/>
        <w:bottom w:val="none" w:sz="0" w:space="0" w:color="auto"/>
        <w:right w:val="none" w:sz="0" w:space="0" w:color="auto"/>
      </w:divBdr>
    </w:div>
    <w:div w:id="2131900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digital.nhs.uk/national-data-opt-ou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ico.org.uk/for-organisations/guide-to-the-general-data-protection-regulation-gdpr/" TargetMode="External"/><Relationship Id="rId2" Type="http://schemas.openxmlformats.org/officeDocument/2006/relationships/customXml" Target="../customXml/item2.xml"/><Relationship Id="rId16" Type="http://schemas.openxmlformats.org/officeDocument/2006/relationships/hyperlink" Target="https://digital.nhs.uk/information-governance-alliance/General-Data-Protection-Regulation-guidanc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digital.nhs.uk/national-data-opt-out"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digital.nhs.uk/national-data-opt-ou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01-NHS-Digital-THEME">
      <a:dk1>
        <a:srgbClr val="0F0F0F"/>
      </a:dk1>
      <a:lt1>
        <a:srgbClr val="FFFFFF"/>
      </a:lt1>
      <a:dk2>
        <a:srgbClr val="033F85"/>
      </a:dk2>
      <a:lt2>
        <a:srgbClr val="F9F9F9"/>
      </a:lt2>
      <a:accent1>
        <a:srgbClr val="005EB8"/>
      </a:accent1>
      <a:accent2>
        <a:srgbClr val="84919C"/>
      </a:accent2>
      <a:accent3>
        <a:srgbClr val="003087"/>
      </a:accent3>
      <a:accent4>
        <a:srgbClr val="71CCEF"/>
      </a:accent4>
      <a:accent5>
        <a:srgbClr val="D0D5D6"/>
      </a:accent5>
      <a:accent6>
        <a:srgbClr val="424D58"/>
      </a:accent6>
      <a:hlink>
        <a:srgbClr val="003087"/>
      </a:hlink>
      <a:folHlink>
        <a:srgbClr val="7C285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InformationAudience xmlns="5668c8bc-6c30-45e9-80ca-5109d4270dfd">
      <Value>Choose your audience from the drop down</Value>
      <Value>NHS Digital</Value>
    </InformationAudience>
    <InformationVersion xmlns="5668c8bc-6c30-45e9-80ca-5109d4270dfd">1.2</InformationVersion>
    <Summary xmlns="5668c8bc-6c30-45e9-80ca-5109d4270dfd" xsi:nil="true"/>
    <ApprovalDate xmlns="5668c8bc-6c30-45e9-80ca-5109d4270dfd">2017-11-22T00:00:00+00:00</ApprovalDate>
    <i8502cb9d1b74c4f9e1ea45824336350 xmlns="5668c8bc-6c30-45e9-80ca-5109d4270dfd">
      <Terms xmlns="http://schemas.microsoft.com/office/infopath/2007/PartnerControls">
        <TermInfo xmlns="http://schemas.microsoft.com/office/infopath/2007/PartnerControls">
          <TermName xmlns="http://schemas.microsoft.com/office/infopath/2007/PartnerControls">P0404/00 - Communications [Corporate Function-Digital Transformation - Beverley Bryant]</TermName>
          <TermId xmlns="http://schemas.microsoft.com/office/infopath/2007/PartnerControls">4d1365a3-4553-4328-b183-fb2da2713d14</TermId>
        </TermInfo>
      </Terms>
    </i8502cb9d1b74c4f9e1ea45824336350>
    <ApproverName xmlns="5668c8bc-6c30-45e9-80ca-5109d4270dfd" xsi:nil="true"/>
    <InformationSource xmlns="5668c8bc-6c30-45e9-80ca-5109d4270dfd" xsi:nil="true"/>
    <InformationStatus xmlns="5668c8bc-6c30-45e9-80ca-5109d4270dfd">Approved</InformationStatus>
    <AuthoredDate xmlns="5668c8bc-6c30-45e9-80ca-5109d4270dfd">2017-11-22T11:37:53+00:00</AuthoredDate>
    <TaxCatchAll xmlns="5668c8bc-6c30-45e9-80ca-5109d4270dfd">
      <Value>58</Value>
      <Value>1</Value>
    </TaxCatchAll>
    <AuthorName xmlns="5668c8bc-6c30-45e9-80ca-5109d4270dfd">
      <UserInfo>
        <DisplayName>Sally Brown</DisplayName>
        <AccountId>11</AccountId>
        <AccountType/>
      </UserInfo>
    </AuthorName>
    <hscicProjectNumber xmlns="5668c8bc-6c30-45e9-80ca-5109d4270dfd" xsi:nil="true"/>
    <e076e489fa624670a6d5030aa6510568 xmlns="5668c8bc-6c30-45e9-80ca-5109d4270dfd">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aff1a68b-1933-4dcf-8d00-314af96fd52f</TermId>
        </TermInfo>
      </Terms>
    </e076e489fa624670a6d5030aa6510568>
    <_dlc_ExpireDateSaved xmlns="http://schemas.microsoft.com/sharepoint/v3" xsi:nil="true"/>
    <_dlc_ExpireDate xmlns="http://schemas.microsoft.com/sharepoint/v3">2020-11-22T11:37:53+00:00</_dlc_ExpireDat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spe:Receivers>
</file>

<file path=customXml/item4.xml><?xml version="1.0" encoding="utf-8"?>
<?mso-contentType ?>
<p:Policy xmlns:p="office.server.policy" id="" local="true">
  <p:Name>NHSD Basic Document (3 years)</p:Name>
  <p:Description/>
  <p:Statement>This document implements 3 years retention from Authored Date</p:Statement>
  <p:PolicyItems>
    <p:PolicyItem featureId="Microsoft.Office.RecordsManagement.PolicyFeatures.Expiration" staticId="0x010100248FFECF8F0D554792D64B70CF7BF038|1875765322" UniqueId="869a2099-ee93-4b40-ae02-4cec0d172ec1">
      <p:Name>Retention</p:Name>
      <p:Description>Automatic scheduling of content for processing, and performing a retention action on content that has reached its due date.</p:Description>
      <p:CustomData>
        <Schedules nextStageId="3">
          <Schedule type="Default">
            <stages>
              <data stageId="1">
                <formula id="Microsoft.Office.RecordsManagement.PolicyFeatures.Expiration.Formula.BuiltIn">
                  <number>3</number>
                  <property>AuthoredDate</property>
                  <propertyId>78342c6d-8801-441d-a333-a9f070617aff</propertyId>
                  <period>years</period>
                </formula>
                <action type="action" id="Microsoft.Office.RecordsManagement.PolicyFeatures.Expiration.Action.Skip"/>
              </data>
              <data stageId="2">
                <formula id="Microsoft.Office.RecordsManagement.PolicyFeatures.Expiration.Formula.BuiltIn">
                  <number>22</number>
                  <property>AuthoredDate</property>
                  <propertyId>78342c6d-8801-441d-a333-a9f070617aff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NHSD Portfolio Document (8 years)" ma:contentTypeID="0x010100248FFECF8F0D554792D64B70CF7BF03801007B4B90AEC5DE37469B4BBCFB9DCFADFE" ma:contentTypeVersion="37" ma:contentTypeDescription="This is the base portfolio document metadata with 8 years retention" ma:contentTypeScope="" ma:versionID="6fc8047f4fca5ec10b42e9ea9933d8a7">
  <xsd:schema xmlns:xsd="http://www.w3.org/2001/XMLSchema" xmlns:xs="http://www.w3.org/2001/XMLSchema" xmlns:p="http://schemas.microsoft.com/office/2006/metadata/properties" xmlns:ns1="http://schemas.microsoft.com/sharepoint/v3" xmlns:ns2="5668c8bc-6c30-45e9-80ca-5109d4270dfd" xmlns:ns3="e066553b-b5a1-4c66-9f97-e5b12b4e0121" xmlns:ns4="087012ad-f25d-452a-a56d-205ecc7c27f8" targetNamespace="http://schemas.microsoft.com/office/2006/metadata/properties" ma:root="true" ma:fieldsID="3c5e18fb7fc86147a37de221458a671a" ns1:_="" ns2:_="" ns3:_="" ns4:_="">
    <xsd:import namespace="http://schemas.microsoft.com/sharepoint/v3"/>
    <xsd:import namespace="5668c8bc-6c30-45e9-80ca-5109d4270dfd"/>
    <xsd:import namespace="e066553b-b5a1-4c66-9f97-e5b12b4e0121"/>
    <xsd:import namespace="087012ad-f25d-452a-a56d-205ecc7c27f8"/>
    <xsd:element name="properties">
      <xsd:complexType>
        <xsd:sequence>
          <xsd:element name="documentManagement">
            <xsd:complexType>
              <xsd:all>
                <xsd:element ref="ns2:AuthorName"/>
                <xsd:element ref="ns2:AuthoredDate"/>
                <xsd:element ref="ns2:e076e489fa624670a6d5030aa6510568" minOccurs="0"/>
                <xsd:element ref="ns2:TaxCatchAll" minOccurs="0"/>
                <xsd:element ref="ns2:TaxCatchAllLabel" minOccurs="0"/>
                <xsd:element ref="ns2:InformationStatus"/>
                <xsd:element ref="ns2:InformationVersion"/>
                <xsd:element ref="ns2:Summary" minOccurs="0"/>
                <xsd:element ref="ns2:ApprovalDate" minOccurs="0"/>
                <xsd:element ref="ns2:InformationAudience" minOccurs="0"/>
                <xsd:element ref="ns2:InformationSource" minOccurs="0"/>
                <xsd:element ref="ns2:i8502cb9d1b74c4f9e1ea45824336350" minOccurs="0"/>
                <xsd:element ref="ns2:ApproverName" minOccurs="0"/>
                <xsd:element ref="ns1:_dlc_Exempt" minOccurs="0"/>
                <xsd:element ref="ns1:_dlc_ExpireDateSaved" minOccurs="0"/>
                <xsd:element ref="ns1:_dlc_ExpireDate" minOccurs="0"/>
                <xsd:element ref="ns3:MediaServiceMetadata" minOccurs="0"/>
                <xsd:element ref="ns3:MediaServiceFastMetadata" minOccurs="0"/>
                <xsd:element ref="ns4:SharedWithUsers" minOccurs="0"/>
                <xsd:element ref="ns4:SharedWithDetails" minOccurs="0"/>
                <xsd:element ref="ns3:MediaServiceDateTaken" minOccurs="0"/>
                <xsd:element ref="ns3:MediaServiceAutoTags" minOccurs="0"/>
                <xsd:element ref="ns2:hscicProjectNumber"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description="" ma:hidden="true" ma:internalName="_dlc_Exempt" ma:readOnly="true">
      <xsd:simpleType>
        <xsd:restriction base="dms:Unknown"/>
      </xsd:simpleType>
    </xsd:element>
    <xsd:element name="_dlc_ExpireDateSaved" ma:index="24" nillable="true" ma:displayName="Original Expiration Date" ma:description="" ma:hidden="true" ma:internalName="_dlc_ExpireDateSaved" ma:readOnly="true">
      <xsd:simpleType>
        <xsd:restriction base="dms:DateTime"/>
      </xsd:simpleType>
    </xsd:element>
    <xsd:element name="_dlc_ExpireDate" ma:index="25"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668c8bc-6c30-45e9-80ca-5109d4270dfd" elementFormDefault="qualified">
    <xsd:import namespace="http://schemas.microsoft.com/office/2006/documentManagement/types"/>
    <xsd:import namespace="http://schemas.microsoft.com/office/infopath/2007/PartnerControls"/>
    <xsd:element name="AuthorName" ma:index="8" ma:displayName="Author Name" ma:description="The name of the primary author or contact" ma:internalName="AuthorName"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uthoredDate" ma:index="9" ma:displayName="Authored Date" ma:default="[Today]" ma:internalName="AuthoredDate" ma:readOnly="false">
      <xsd:simpleType>
        <xsd:restriction base="dms:DateTime"/>
      </xsd:simpleType>
    </xsd:element>
    <xsd:element name="e076e489fa624670a6d5030aa6510568" ma:index="10" ma:taxonomy="true" ma:internalName="e076e489fa624670a6d5030aa6510568" ma:taxonomyFieldName="InformationType" ma:displayName="Information Type" ma:default="" ma:fieldId="{e076e489-fa62-4670-a6d5-030aa6510568}" ma:taxonomyMulti="true" ma:sspId="bb72b7f4-c981-47a4-a26e-043e4b78ebf3" ma:termSetId="62923a2f-f421-4e6f-b03c-6d9050967a32" ma:anchorId="00000000-0000-0000-0000-000000000000" ma:open="false" ma:isKeyword="false">
      <xsd:complexType>
        <xsd:sequence>
          <xsd:element ref="pc:Terms" minOccurs="0" maxOccurs="1"/>
        </xsd:sequence>
      </xsd:complexType>
    </xsd:element>
    <xsd:element name="TaxCatchAll" ma:index="11" nillable="true" ma:displayName="Taxonomy Catch All Column" ma:description="" ma:hidden="true" ma:list="{d53da4bd-d623-4f0b-8573-b508ae3e7b8a}" ma:internalName="TaxCatchAll" ma:showField="CatchAllData"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d53da4bd-d623-4f0b-8573-b508ae3e7b8a}" ma:internalName="TaxCatchAllLabel" ma:readOnly="true" ma:showField="CatchAllDataLabel" ma:web="087012ad-f25d-452a-a56d-205ecc7c27f8">
      <xsd:complexType>
        <xsd:complexContent>
          <xsd:extension base="dms:MultiChoiceLookup">
            <xsd:sequence>
              <xsd:element name="Value" type="dms:Lookup" maxOccurs="unbounded" minOccurs="0" nillable="true"/>
            </xsd:sequence>
          </xsd:extension>
        </xsd:complexContent>
      </xsd:complexType>
    </xsd:element>
    <xsd:element name="InformationStatus" ma:index="14" ma:displayName="Information Status" ma:default="Draft" ma:description="The position of state of the resource" ma:internalName="InformationStatus">
      <xsd:simpleType>
        <xsd:restriction base="dms:Choice">
          <xsd:enumeration value="Draft"/>
          <xsd:enumeration value="In Review"/>
          <xsd:enumeration value="Approved"/>
          <xsd:enumeration value="Archived"/>
          <xsd:enumeration value="Public"/>
        </xsd:restriction>
      </xsd:simpleType>
    </xsd:element>
    <xsd:element name="InformationVersion" ma:index="15" ma:displayName="Information Version" ma:decimals="2" ma:description="Identifies version number of the resource" ma:internalName="InformationVersion" ma:readOnly="false">
      <xsd:simpleType>
        <xsd:restriction base="dms:Number">
          <xsd:maxInclusive value="5000"/>
          <xsd:minInclusive value="0"/>
        </xsd:restriction>
      </xsd:simpleType>
    </xsd:element>
    <xsd:element name="Summary" ma:index="16" nillable="true" ma:displayName="Summary" ma:description="An account of the content of the resource" ma:internalName="Summary">
      <xsd:simpleType>
        <xsd:restriction base="dms:Note">
          <xsd:maxLength value="255"/>
        </xsd:restriction>
      </xsd:simpleType>
    </xsd:element>
    <xsd:element name="ApprovalDate" ma:index="17" nillable="true" ma:displayName="Approval Date" ma:default="[today]" ma:format="DateOnly" ma:internalName="ApprovalDate">
      <xsd:simpleType>
        <xsd:restriction base="dms:DateTime"/>
      </xsd:simpleType>
    </xsd:element>
    <xsd:element name="InformationAudience" ma:index="18" nillable="true" ma:displayName="Audience" ma:default="Choose your audience from the drop down" ma:description="&#10;&#10;&#10;" ma:internalName="InformationAudience" ma:readOnly="false" ma:requiredMultiChoice="true">
      <xsd:complexType>
        <xsd:complexContent>
          <xsd:extension base="dms:MultiChoice">
            <xsd:sequence>
              <xsd:element name="Value" maxOccurs="unbounded" minOccurs="0" nillable="true">
                <xsd:simpleType>
                  <xsd:restriction base="dms:Choice">
                    <xsd:enumeration value="Choose your audience from the drop down"/>
                    <xsd:enumeration value="Communications Team"/>
                    <xsd:enumeration value="NHS Digital"/>
                    <xsd:enumeration value="NHS"/>
                    <xsd:enumeration value="Supplier"/>
                    <xsd:enumeration value="Local Authority"/>
                    <xsd:enumeration value="Patient/Service User"/>
                    <xsd:enumeration value="Media"/>
                    <xsd:enumeration value="Parliamentary"/>
                  </xsd:restriction>
                </xsd:simpleType>
              </xsd:element>
            </xsd:sequence>
          </xsd:extension>
        </xsd:complexContent>
      </xsd:complexType>
    </xsd:element>
    <xsd:element name="InformationSource" ma:index="19" nillable="true" ma:displayName="Information Source" ma:description="The source from which the described resource is derived" ma:hidden="true" ma:internalName="InformationSource" ma:readOnly="false">
      <xsd:simpleType>
        <xsd:restriction base="dms:Text"/>
      </xsd:simpleType>
    </xsd:element>
    <xsd:element name="i8502cb9d1b74c4f9e1ea45824336350" ma:index="20" ma:taxonomy="true" ma:internalName="i8502cb9d1b74c4f9e1ea45824336350" ma:taxonomyFieldName="PortfolioCode" ma:displayName="Portfolio Code" ma:default="1;#P0404/00 - Communications [Corporate Function-Digital Transformation - Beverley Bryant]|4d1365a3-4553-4328-b183-fb2da2713d14" ma:fieldId="{28502cb9-d1b7-4c4f-9e1e-a45824336350}" ma:sspId="bb72b7f4-c981-47a4-a26e-043e4b78ebf3" ma:termSetId="83dca0dc-49f4-4ab6-814d-a10e46f2d065" ma:anchorId="00000000-0000-0000-0000-000000000000" ma:open="true" ma:isKeyword="false">
      <xsd:complexType>
        <xsd:sequence>
          <xsd:element ref="pc:Terms" minOccurs="0" maxOccurs="1"/>
        </xsd:sequence>
      </xsd:complexType>
    </xsd:element>
    <xsd:element name="ApproverName" ma:index="22" nillable="true" ma:displayName="Approver Name" ma:hidden="true" ma:internalName="ApproverName" ma:readOnly="false">
      <xsd:simpleType>
        <xsd:restriction base="dms:Text"/>
      </xsd:simpleType>
    </xsd:element>
    <xsd:element name="hscicProjectNumber" ma:index="32" nillable="true" ma:displayName="Project Number" ma:internalName="hscicProject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66553b-b5a1-4c66-9f97-e5b12b4e0121"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DateTaken" ma:index="30" nillable="true" ma:displayName="MediaServiceDateTaken" ma:description="" ma:hidden="true" ma:internalName="MediaServiceDateTaken" ma:readOnly="true">
      <xsd:simpleType>
        <xsd:restriction base="dms:Text"/>
      </xsd:simpleType>
    </xsd:element>
    <xsd:element name="MediaServiceAutoTags" ma:index="31" nillable="true" ma:displayName="MediaServiceAutoTags" ma:description="" ma:internalName="MediaServiceAutoTags" ma:readOnly="true">
      <xsd:simpleType>
        <xsd:restriction base="dms:Text"/>
      </xsd:simpleType>
    </xsd:element>
    <xsd:element name="MediaServiceOCR" ma:index="3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87012ad-f25d-452a-a56d-205ecc7c27f8" elementFormDefault="qualified">
    <xsd:import namespace="http://schemas.microsoft.com/office/2006/documentManagement/types"/>
    <xsd:import namespace="http://schemas.microsoft.com/office/infopath/2007/PartnerControls"/>
    <xsd:element name="SharedWithUsers" ma:index="2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F7A3B3-4841-4A75-A902-74DB27C41D30}">
  <ds:schemaRefs>
    <ds:schemaRef ds:uri="http://schemas.microsoft.com/office/2006/metadata/properties"/>
    <ds:schemaRef ds:uri="http://schemas.microsoft.com/office/infopath/2007/PartnerControls"/>
    <ds:schemaRef ds:uri="5668c8bc-6c30-45e9-80ca-5109d4270dfd"/>
    <ds:schemaRef ds:uri="http://schemas.microsoft.com/sharepoint/v3"/>
  </ds:schemaRefs>
</ds:datastoreItem>
</file>

<file path=customXml/itemProps2.xml><?xml version="1.0" encoding="utf-8"?>
<ds:datastoreItem xmlns:ds="http://schemas.openxmlformats.org/officeDocument/2006/customXml" ds:itemID="{379147BD-8671-47C3-BBF5-C370F2DBCC52}">
  <ds:schemaRefs>
    <ds:schemaRef ds:uri="http://schemas.microsoft.com/sharepoint/v3/contenttype/forms"/>
  </ds:schemaRefs>
</ds:datastoreItem>
</file>

<file path=customXml/itemProps3.xml><?xml version="1.0" encoding="utf-8"?>
<ds:datastoreItem xmlns:ds="http://schemas.openxmlformats.org/officeDocument/2006/customXml" ds:itemID="{D431FAB2-D54A-43FC-BF7E-57404C0B94D8}">
  <ds:schemaRefs>
    <ds:schemaRef ds:uri="http://schemas.microsoft.com/sharepoint/events"/>
  </ds:schemaRefs>
</ds:datastoreItem>
</file>

<file path=customXml/itemProps4.xml><?xml version="1.0" encoding="utf-8"?>
<ds:datastoreItem xmlns:ds="http://schemas.openxmlformats.org/officeDocument/2006/customXml" ds:itemID="{9DF88171-EFAC-467E-8631-3E55916077BD}">
  <ds:schemaRefs>
    <ds:schemaRef ds:uri="office.server.policy"/>
  </ds:schemaRefs>
</ds:datastoreItem>
</file>

<file path=customXml/itemProps5.xml><?xml version="1.0" encoding="utf-8"?>
<ds:datastoreItem xmlns:ds="http://schemas.openxmlformats.org/officeDocument/2006/customXml" ds:itemID="{D3ECE1B5-576B-4916-A02F-2A5835A450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68c8bc-6c30-45e9-80ca-5109d4270dfd"/>
    <ds:schemaRef ds:uri="e066553b-b5a1-4c66-9f97-e5b12b4e0121"/>
    <ds:schemaRef ds:uri="087012ad-f25d-452a-a56d-205ecc7c27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4AEFDDD0-F181-44D7-BF6D-8FE511D4C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1337</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Health &amp; Social Care Information Centre</Company>
  <LinksUpToDate>false</LinksUpToDate>
  <CharactersWithSpaces>8947</CharactersWithSpaces>
  <SharedDoc>false</SharedDoc>
  <HLinks>
    <vt:vector size="6" baseType="variant">
      <vt:variant>
        <vt:i4>7012397</vt:i4>
      </vt:variant>
      <vt:variant>
        <vt:i4>3</vt:i4>
      </vt:variant>
      <vt:variant>
        <vt:i4>0</vt:i4>
      </vt:variant>
      <vt:variant>
        <vt:i4>5</vt:i4>
      </vt:variant>
      <vt:variant>
        <vt:lpwstr>http://www.connectingforhealth.nhs.uk/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Selina Dewis</dc:creator>
  <cp:lastModifiedBy>Michael Clarke</cp:lastModifiedBy>
  <cp:revision>4</cp:revision>
  <cp:lastPrinted>2018-05-22T08:53:00Z</cp:lastPrinted>
  <dcterms:created xsi:type="dcterms:W3CDTF">2018-05-22T10:55:00Z</dcterms:created>
  <dcterms:modified xsi:type="dcterms:W3CDTF">2018-05-22T11:39:00Z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0x010100248FFECF8F0D554792D64B70CF7BF03801007B4B90AEC5DE37469B4BBCFB9DCFADFE</vt:lpwstr>
  </property>
  <property fmtid="{D5CDD505-2E9C-101B-9397-08002B2CF9AE}" pid="3" name="_dlc_policyId">
    <vt:lpwstr>0x010100248FFECF8F0D554792D64B70CF7BF038|1875765322</vt:lpwstr>
  </property>
  <property fmtid="{D5CDD505-2E9C-101B-9397-08002B2CF9AE}" pid="4" name="ItemRetentionFormula">
    <vt:lpwstr>&lt;formula id="Microsoft.Office.RecordsManagement.PolicyFeatures.Expiration.Formula.BuiltIn"&gt;&lt;number&gt;3&lt;/number&gt;&lt;property&gt;AuthoredDate&lt;/property&gt;&lt;propertyId&gt;78342c6d-8801-441d-a333-a9f070617aff&lt;/propertyId&gt;&lt;period&gt;years&lt;/period&gt;&lt;/formula&gt;</vt:lpwstr>
  </property>
  <property fmtid="{D5CDD505-2E9C-101B-9397-08002B2CF9AE}" pid="5" name="InformationType">
    <vt:lpwstr>58;#Template|aff1a68b-1933-4dcf-8d00-314af96fd52f</vt:lpwstr>
  </property>
  <property fmtid="{D5CDD505-2E9C-101B-9397-08002B2CF9AE}" pid="6" name="PortfolioCode">
    <vt:lpwstr>1;#P0404/00 - Communications [Corporate Function-Digital Transformation - Beverley Bryant]|4d1365a3-4553-4328-b183-fb2da2713d14</vt:lpwstr>
  </property>
</Properties>
</file>